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22BD47E" w:rsidP="3CA6E2B8" w:rsidRDefault="522BD47E" w14:paraId="30A5901C" w14:textId="2B741064" w14:noSpellErr="1">
      <w:pPr>
        <w:spacing w:line="480" w:lineRule="auto"/>
        <w:jc w:val="both"/>
        <w:rPr>
          <w:rFonts w:ascii="Verdana" w:hAnsi="Verdana" w:eastAsia="Verdana" w:cs="Verdana"/>
          <w:b w:val="0"/>
          <w:bCs w:val="0"/>
          <w:u w:val="none"/>
        </w:rPr>
      </w:pPr>
      <w:r w:rsidRPr="58F5987A" w:rsidR="1D51E2DB">
        <w:rPr>
          <w:rFonts w:ascii="Verdana" w:hAnsi="Verdana" w:eastAsia="Verdana" w:cs="Verdana"/>
          <w:b w:val="1"/>
          <w:bCs w:val="1"/>
          <w:u w:val="single"/>
        </w:rPr>
        <w:t xml:space="preserve">Analysis of Source 10: Policing Excerpt of Testimony by </w:t>
      </w:r>
      <w:r w:rsidRPr="58F5987A" w:rsidR="71149CEE">
        <w:rPr>
          <w:rFonts w:ascii="Verdana" w:hAnsi="Verdana" w:eastAsia="Verdana" w:cs="Verdana"/>
          <w:b w:val="1"/>
          <w:bCs w:val="1"/>
          <w:u w:val="single"/>
        </w:rPr>
        <w:t>Mrs.</w:t>
      </w:r>
      <w:r w:rsidRPr="58F5987A" w:rsidR="1D51E2DB">
        <w:rPr>
          <w:rFonts w:ascii="Verdana" w:hAnsi="Verdana" w:eastAsia="Verdana" w:cs="Verdana"/>
          <w:b w:val="1"/>
          <w:bCs w:val="1"/>
          <w:u w:val="single"/>
        </w:rPr>
        <w:t xml:space="preserve"> Lupe </w:t>
      </w:r>
      <w:r w:rsidRPr="58F5987A" w:rsidR="4990ACFE">
        <w:rPr>
          <w:rFonts w:ascii="Verdana" w:hAnsi="Verdana" w:eastAsia="Verdana" w:cs="Verdana"/>
          <w:b w:val="1"/>
          <w:bCs w:val="1"/>
          <w:u w:val="single"/>
        </w:rPr>
        <w:t>Marshall to the La Follette Committee</w:t>
      </w:r>
      <w:r w:rsidRPr="58F5987A" w:rsidR="4990ACFE">
        <w:rPr>
          <w:rFonts w:ascii="Verdana" w:hAnsi="Verdana" w:eastAsia="Verdana" w:cs="Verdana"/>
          <w:b w:val="1"/>
          <w:bCs w:val="1"/>
          <w:u w:val="single"/>
        </w:rPr>
        <w:t xml:space="preserve"> Investigating</w:t>
      </w:r>
      <w:r w:rsidRPr="58F5987A" w:rsidR="4990ACFE">
        <w:rPr>
          <w:rFonts w:ascii="Verdana" w:hAnsi="Verdana" w:eastAsia="Verdana" w:cs="Verdana"/>
          <w:b w:val="1"/>
          <w:bCs w:val="1"/>
          <w:u w:val="single"/>
        </w:rPr>
        <w:t xml:space="preserve"> the Chicago Memorial Day Massacre, 1937.</w:t>
      </w:r>
    </w:p>
    <w:p w:rsidR="21F7CBDD" w:rsidP="58F5987A" w:rsidRDefault="21F7CBDD" w14:paraId="3C961937" w14:textId="2F0777F0" w14:noSpellErr="1">
      <w:pPr>
        <w:pStyle w:val="Normal"/>
        <w:spacing w:line="480" w:lineRule="auto"/>
        <w:jc w:val="both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</w:p>
    <w:p w:rsidR="6966F6B3" w:rsidP="58F5987A" w:rsidRDefault="6966F6B3" w14:noSpellErr="1" w14:paraId="5CCB70D8" w14:textId="79BDA152">
      <w:pPr>
        <w:pStyle w:val="Normal"/>
        <w:spacing w:line="480" w:lineRule="auto"/>
        <w:ind w:firstLine="720"/>
        <w:jc w:val="both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  <w:r w:rsidRPr="58F5987A" w:rsidR="1F1D00A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The testimony of Mrs. Lupe Marshall </w:t>
      </w:r>
      <w:r w:rsidRPr="58F5987A" w:rsidR="1F1D00A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accounts</w:t>
      </w:r>
      <w:r w:rsidRPr="58F5987A" w:rsidR="1F1D00A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her experiences and feelings during the Chicago Memorial Day Massacre where police committed acts of pol</w:t>
      </w:r>
      <w:r w:rsidRPr="58F5987A" w:rsidR="0202062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iticized violence against striking steelworkers and their families </w:t>
      </w:r>
      <w:r w:rsidRPr="58F5987A" w:rsidR="3EA58F75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outside</w:t>
      </w:r>
      <w:r w:rsidRPr="58F5987A" w:rsidR="0202062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the Republic Steel plant. </w:t>
      </w:r>
      <w:r w:rsidRPr="58F5987A" w:rsidR="285464A6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During the testimony she highlights </w:t>
      </w:r>
      <w:r w:rsidRPr="58F5987A" w:rsidR="3F382F8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the excessive and indiscriminate violence </w:t>
      </w:r>
      <w:r w:rsidRPr="58F5987A" w:rsidR="484C21B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the police used to suppress economic dissent during the Great Depression. </w:t>
      </w:r>
      <w:r w:rsidRPr="58F5987A" w:rsidR="4BCA8B6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The actions and violence </w:t>
      </w:r>
      <w:r w:rsidRPr="58F5987A" w:rsidR="4BCA8B6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demonstrated</w:t>
      </w:r>
      <w:r w:rsidRPr="58F5987A" w:rsidR="4BCA8B6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by the police </w:t>
      </w:r>
      <w:r w:rsidRPr="58F5987A" w:rsidR="4BCA8B6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represent</w:t>
      </w:r>
      <w:r w:rsidRPr="58F5987A" w:rsidR="4BCA8B6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the states capacity for force</w:t>
      </w:r>
      <w:r w:rsidRPr="58F5987A" w:rsidR="1032123B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against challenging social groups, a demonstration of the punitive control s</w:t>
      </w:r>
      <w:r w:rsidRPr="58F5987A" w:rsidR="3CF4196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een in the “sovereign state </w:t>
      </w:r>
      <w:r w:rsidRPr="58F5987A" w:rsidR="3CF4196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strategy”</w:t>
      </w:r>
      <w:r w:rsidRPr="58F5987A">
        <w:rPr>
          <w:rStyle w:val="FootnoteReference"/>
          <w:rFonts w:ascii="Verdana" w:hAnsi="Verdana" w:eastAsia="Verdana" w:cs="Verdana"/>
          <w:b w:val="0"/>
          <w:bCs w:val="0"/>
          <w:i w:val="0"/>
          <w:iCs w:val="0"/>
          <w:u w:val="none"/>
        </w:rPr>
        <w:footnoteReference w:id="16676"/>
      </w:r>
      <w:r w:rsidRPr="58F5987A" w:rsidR="3CF4196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that would later dominate American criminal justice. </w:t>
      </w:r>
      <w:r w:rsidRPr="58F5987A" w:rsidR="24FEC91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This account comes from </w:t>
      </w:r>
      <w:r w:rsidRPr="58F5987A" w:rsidR="1D18DAC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Mrs. Lupe Marshall, an eyewitness, victim and “social worker at Chicago’s Hull House Settlement </w:t>
      </w:r>
      <w:r w:rsidRPr="58F5987A" w:rsidR="1D18DAC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House”</w:t>
      </w:r>
      <w:r w:rsidRPr="58F5987A">
        <w:rPr>
          <w:rStyle w:val="FootnoteReference"/>
          <w:rFonts w:ascii="Verdana" w:hAnsi="Verdana" w:eastAsia="Verdana" w:cs="Verdana"/>
          <w:b w:val="0"/>
          <w:bCs w:val="0"/>
          <w:i w:val="0"/>
          <w:iCs w:val="0"/>
          <w:u w:val="none"/>
        </w:rPr>
        <w:footnoteReference w:id="5268"/>
      </w:r>
      <w:r w:rsidRPr="58F5987A" w:rsidR="1103B7BB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experiencing the horrors of the event, giving</w:t>
      </w:r>
      <w:r w:rsidRPr="58F5987A" w:rsidR="400A92AF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her experience to the U.S. Senate’s La Follette Civil Liberties Committee under oath. </w:t>
      </w:r>
      <w:r w:rsidRPr="58F5987A" w:rsidR="035B321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The official transcript (the source) was produced as evidence during the Senate’s investigation into the actions of police and their violation of </w:t>
      </w:r>
      <w:r w:rsidRPr="58F5987A" w:rsidR="035B321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workers</w:t>
      </w:r>
      <w:r w:rsidRPr="58F5987A" w:rsidR="035B321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rights. </w:t>
      </w:r>
      <w:r w:rsidRPr="58F5987A" w:rsidR="6949B40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The events Marshall recounts took place in May </w:t>
      </w:r>
      <w:r w:rsidRPr="58F5987A" w:rsidR="72C4EF6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1937 in Chicago, Illinois, during a period in which U.S. law enforcement</w:t>
      </w:r>
      <w:r w:rsidRPr="58F5987A" w:rsidR="35042415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which </w:t>
      </w:r>
      <w:r w:rsidRPr="58F5987A" w:rsidR="35042415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seemingly followed</w:t>
      </w:r>
      <w:r w:rsidRPr="58F5987A" w:rsidR="35042415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the ideals of the Professional model of policing</w:t>
      </w:r>
      <w:r w:rsidRPr="58F5987A" w:rsidR="5CB161A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, a form of policing defined by “a motorized police force, withdrawn from close community </w:t>
      </w:r>
      <w:r w:rsidRPr="58F5987A" w:rsidR="5CB161A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involv</w:t>
      </w:r>
      <w:r w:rsidRPr="58F5987A" w:rsidR="50C9EF84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ement”</w:t>
      </w:r>
      <w:r w:rsidRPr="58F5987A">
        <w:rPr>
          <w:rStyle w:val="FootnoteReference"/>
          <w:rFonts w:ascii="Verdana" w:hAnsi="Verdana" w:eastAsia="Verdana" w:cs="Verdana"/>
          <w:b w:val="0"/>
          <w:bCs w:val="0"/>
          <w:i w:val="0"/>
          <w:iCs w:val="0"/>
          <w:u w:val="none"/>
        </w:rPr>
        <w:footnoteReference w:id="29060"/>
      </w:r>
      <w:r w:rsidRPr="58F5987A" w:rsidR="5A36B283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. </w:t>
      </w:r>
      <w:r w:rsidRPr="58F5987A" w:rsidR="2535551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The hearing, however, took place in </w:t>
      </w:r>
      <w:r w:rsidRPr="58F5987A" w:rsidR="2535551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Washington</w:t>
      </w:r>
      <w:r w:rsidRPr="58F5987A" w:rsidR="2535551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D.C. where the testimony was addressed formally to Senator La Follette and the rest of the committee members. </w:t>
      </w:r>
      <w:r w:rsidRPr="58F5987A" w:rsidR="71511509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By </w:t>
      </w:r>
      <w:r w:rsidRPr="58F5987A" w:rsidR="6008B59F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extension</w:t>
      </w:r>
      <w:r w:rsidRPr="58F5987A" w:rsidR="71511509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, this testimony was also addressed to </w:t>
      </w:r>
      <w:r w:rsidRPr="58F5987A" w:rsidR="4EC662D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the wider US public and press following the official hearings. </w:t>
      </w:r>
      <w:r w:rsidRPr="58F5987A" w:rsidR="2285E37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Marshall, knowing </w:t>
      </w:r>
      <w:r w:rsidRPr="58F5987A" w:rsidR="011577A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that her testimony </w:t>
      </w:r>
      <w:r w:rsidRPr="58F5987A" w:rsidR="3FD3B7E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would reach public </w:t>
      </w:r>
      <w:r w:rsidRPr="58F5987A" w:rsidR="3FD3B7E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record</w:t>
      </w:r>
      <w:r w:rsidRPr="58F5987A" w:rsidR="3FD3B7E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, chose </w:t>
      </w:r>
      <w:r w:rsidRPr="58F5987A" w:rsidR="3FD3B7E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specific</w:t>
      </w:r>
      <w:r w:rsidRPr="58F5987A" w:rsidR="3FD3B7E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language to frame her testimony in a moral and emotive manner aimed at persuading </w:t>
      </w:r>
      <w:r w:rsidRPr="58F5987A" w:rsidR="60FE3B5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not just the Senate but the citizens of the injustice she </w:t>
      </w:r>
      <w:r w:rsidRPr="58F5987A" w:rsidR="60FE3B5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witnessed</w:t>
      </w:r>
      <w:r w:rsidRPr="58F5987A" w:rsidR="2EF68C2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. </w:t>
      </w:r>
      <w:r w:rsidRPr="58F5987A" w:rsidR="3F01F9D6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The aim of the testimony is to provide witness, </w:t>
      </w:r>
      <w:r w:rsidRPr="58F5987A" w:rsidR="3F01F9D6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persuade</w:t>
      </w:r>
      <w:r w:rsidRPr="58F5987A" w:rsidR="3F01F9D6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and provide credible human evidence of a state of brutality </w:t>
      </w:r>
      <w:r w:rsidRPr="58F5987A" w:rsidR="2BA4DAEF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so that the police could be held accountable for their flagrant actions</w:t>
      </w:r>
      <w:r w:rsidRPr="58F5987A" w:rsidR="027C838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. She </w:t>
      </w:r>
      <w:r w:rsidRPr="58F5987A" w:rsidR="027C838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sought</w:t>
      </w:r>
      <w:r w:rsidRPr="58F5987A" w:rsidR="027C838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</w:t>
      </w:r>
      <w:r w:rsidRPr="58F5987A" w:rsidR="7EB2545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to vindicate the rights of those </w:t>
      </w:r>
      <w:r w:rsidRPr="58F5987A" w:rsidR="795C44D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involved and push for reform and action by exposing the</w:t>
      </w:r>
      <w:r w:rsidRPr="58F5987A" w:rsidR="5083AF9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indiscriminate actions of the police to the public. </w:t>
      </w:r>
      <w:r w:rsidRPr="58F5987A" w:rsidR="60998BE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This goal is supported by the later push for a non-punitive approach as shown by the public health community which </w:t>
      </w:r>
      <w:r w:rsidRPr="58F5987A" w:rsidR="13D56CB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deemed</w:t>
      </w:r>
      <w:r w:rsidRPr="58F5987A" w:rsidR="60998BE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the </w:t>
      </w:r>
      <w:r w:rsidRPr="58F5987A" w:rsidR="60998BE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polices</w:t>
      </w:r>
      <w:r w:rsidRPr="58F5987A" w:rsidR="60998BE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</w:t>
      </w:r>
      <w:r w:rsidRPr="58F5987A" w:rsidR="5EDC696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traditional punitive methods “not </w:t>
      </w:r>
      <w:r w:rsidRPr="58F5987A" w:rsidR="5EDC696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adequate”</w:t>
      </w:r>
      <w:r w:rsidRPr="58F5987A">
        <w:rPr>
          <w:rStyle w:val="FootnoteReference"/>
          <w:rFonts w:ascii="Verdana" w:hAnsi="Verdana" w:eastAsia="Verdana" w:cs="Verdana"/>
          <w:b w:val="0"/>
          <w:bCs w:val="0"/>
          <w:i w:val="0"/>
          <w:iCs w:val="0"/>
          <w:u w:val="none"/>
        </w:rPr>
        <w:footnoteReference w:id="8687"/>
      </w:r>
      <w:r w:rsidRPr="58F5987A" w:rsidR="4BD776F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. </w:t>
      </w:r>
      <w:r w:rsidRPr="58F5987A" w:rsidR="5839704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The effect this testimony had </w:t>
      </w:r>
      <w:r w:rsidRPr="58F5987A" w:rsidR="6BFE1DC3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on the public did not take place </w:t>
      </w:r>
      <w:r w:rsidRPr="58F5987A" w:rsidR="6BFE1DC3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immediately</w:t>
      </w:r>
      <w:r w:rsidRPr="58F5987A" w:rsidR="6BFE1DC3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. </w:t>
      </w:r>
      <w:r w:rsidRPr="58F5987A" w:rsidR="6BFE1DC3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Instead</w:t>
      </w:r>
      <w:r w:rsidRPr="58F5987A" w:rsidR="6BFE1DC3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it helped to shape public outrage and contribute to the growing criticism of police and violence </w:t>
      </w:r>
      <w:r w:rsidRPr="58F5987A" w:rsidR="67A1D993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in the late 1930s. Although immediate prosecutions were rare</w:t>
      </w:r>
      <w:r w:rsidRPr="58F5987A" w:rsidR="096A900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, the hearings strengthened federal awareness of civil liberties violations and supported broader </w:t>
      </w:r>
      <w:r w:rsidRPr="58F5987A" w:rsidR="096A900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New Deal</w:t>
      </w:r>
      <w:r w:rsidRPr="58F5987A" w:rsidR="096A900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narratives</w:t>
      </w:r>
      <w:r w:rsidRPr="58F5987A" w:rsidR="42DD126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,</w:t>
      </w:r>
      <w:r w:rsidRPr="58F5987A" w:rsidR="096A900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that the state </w:t>
      </w:r>
      <w:r w:rsidRPr="58F5987A" w:rsidR="496524C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exists to protect </w:t>
      </w:r>
      <w:r w:rsidRPr="58F5987A" w:rsidR="496524C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marginalised</w:t>
      </w:r>
      <w:r w:rsidRPr="58F5987A" w:rsidR="496524C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</w:t>
      </w:r>
      <w:r w:rsidRPr="58F5987A" w:rsidR="496524C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labour</w:t>
      </w:r>
      <w:r w:rsidRPr="58F5987A" w:rsidR="496524C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from brutal local authority, which helped restore public legitimacy after the local police’s actions.</w:t>
      </w:r>
      <w:r w:rsidRPr="58F5987A" w:rsidR="7654E6D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This protective mandate was defined by Roosevelt as “assuring the employees the right of collective bargaining... [and] preventing practices </w:t>
      </w:r>
      <w:r w:rsidRPr="58F5987A" w:rsidR="7EF5D8E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which tend to destroy the independence of </w:t>
      </w:r>
      <w:r w:rsidRPr="58F5987A" w:rsidR="7EF5D8E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labor</w:t>
      </w:r>
      <w:r w:rsidRPr="58F5987A" w:rsidR="7EF5D8E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”</w:t>
      </w:r>
      <w:r w:rsidRPr="58F5987A">
        <w:rPr>
          <w:rStyle w:val="FootnoteReference"/>
          <w:rFonts w:ascii="Verdana" w:hAnsi="Verdana" w:eastAsia="Verdana" w:cs="Verdana"/>
          <w:b w:val="0"/>
          <w:bCs w:val="0"/>
          <w:i w:val="0"/>
          <w:iCs w:val="0"/>
          <w:u w:val="none"/>
        </w:rPr>
        <w:footnoteReference w:id="16500"/>
      </w:r>
      <w:r w:rsidRPr="58F5987A" w:rsidR="7DC7270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. </w:t>
      </w:r>
      <w:r w:rsidRPr="58F5987A" w:rsidR="6D53CC8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Assessing the reliability of this source is quite interesting. It is a</w:t>
      </w:r>
      <w:r w:rsidRPr="58F5987A" w:rsidR="0024EBE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first-hand account, already ticking boxes for a reliable source as well as the conditions the account were gi</w:t>
      </w:r>
      <w:r w:rsidRPr="58F5987A" w:rsidR="1384BD34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ven. The testimony was given under oath, further increasing its reliability for what Marshall </w:t>
      </w:r>
      <w:r w:rsidRPr="58F5987A" w:rsidR="1384BD34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observed</w:t>
      </w:r>
      <w:r w:rsidRPr="58F5987A" w:rsidR="1384BD34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. </w:t>
      </w:r>
      <w:r w:rsidRPr="58F5987A" w:rsidR="2F013279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However, its subjectivity and emotional tone as a victim recounting a traumatic event means that the account could potentially be exaggerat</w:t>
      </w:r>
      <w:r w:rsidRPr="58F5987A" w:rsidR="2CEAF09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e certain impressions or omit certain context. </w:t>
      </w:r>
      <w:r w:rsidRPr="58F5987A" w:rsidR="4FE18A29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Nevertheless, cross checking with other historical sources and historica</w:t>
      </w:r>
      <w:r w:rsidRPr="58F5987A" w:rsidR="1202945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l research it confirms the core accuracy of her description</w:t>
      </w:r>
      <w:r w:rsidRPr="58F5987A" w:rsidR="62D2702F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. </w:t>
      </w:r>
    </w:p>
    <w:p w:rsidR="6966F6B3" w:rsidP="58F5987A" w:rsidRDefault="6966F6B3" w14:paraId="274A192E" w14:textId="2EEFFC2B">
      <w:pPr>
        <w:pStyle w:val="Normal"/>
        <w:spacing w:line="480" w:lineRule="auto"/>
        <w:ind w:firstLine="720"/>
        <w:jc w:val="both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  <w:r w:rsidRPr="58F5987A" w:rsidR="07690426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The testimony from Marshall is </w:t>
      </w:r>
      <w:r w:rsidRPr="58F5987A" w:rsidR="07690426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greatly significant</w:t>
      </w:r>
      <w:r w:rsidRPr="58F5987A" w:rsidR="07690426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</w:t>
      </w:r>
      <w:r w:rsidRPr="58F5987A" w:rsidR="121FC56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in its immediate context as it exposes the foundational </w:t>
      </w:r>
      <w:r w:rsidRPr="58F5987A" w:rsidR="146A7D7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contradiction</w:t>
      </w:r>
      <w:r w:rsidRPr="58F5987A" w:rsidR="121FC56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in 20</w:t>
      </w:r>
      <w:r w:rsidRPr="58F5987A" w:rsidR="121FC560">
        <w:rPr>
          <w:rFonts w:ascii="Verdana" w:hAnsi="Verdana" w:eastAsia="Verdana" w:cs="Verdana"/>
          <w:b w:val="0"/>
          <w:bCs w:val="0"/>
          <w:i w:val="0"/>
          <w:iCs w:val="0"/>
          <w:u w:val="none"/>
          <w:vertAlign w:val="superscript"/>
        </w:rPr>
        <w:t>th</w:t>
      </w:r>
      <w:r w:rsidRPr="58F5987A" w:rsidR="121FC56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century American policing, the immediate and systematic failure of the “prof</w:t>
      </w:r>
      <w:r w:rsidRPr="58F5987A" w:rsidR="786B7D8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essional ideal”</w:t>
      </w:r>
      <w:r w:rsidRPr="58F5987A">
        <w:rPr>
          <w:rStyle w:val="FootnoteReference"/>
          <w:rFonts w:ascii="Verdana" w:hAnsi="Verdana" w:eastAsia="Verdana" w:cs="Verdana"/>
          <w:b w:val="0"/>
          <w:bCs w:val="0"/>
          <w:i w:val="0"/>
          <w:iCs w:val="0"/>
          <w:u w:val="none"/>
        </w:rPr>
        <w:footnoteReference w:id="10648"/>
      </w:r>
      <w:r w:rsidRPr="58F5987A" w:rsidR="6C74A65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when confronted by political conflict. </w:t>
      </w:r>
      <w:r w:rsidRPr="58F5987A" w:rsidR="09DE5BFB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Marshall’s account </w:t>
      </w:r>
      <w:r w:rsidRPr="58F5987A" w:rsidR="2089C4D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inherently disputes </w:t>
      </w:r>
      <w:r w:rsidRPr="58F5987A" w:rsidR="0C32398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the definitive narrative of the 1930s</w:t>
      </w:r>
      <w:r w:rsidRPr="58F5987A" w:rsidR="129C649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which was the belief in the reform era which is t</w:t>
      </w:r>
      <w:r w:rsidRPr="58F5987A" w:rsidR="57DF47D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o </w:t>
      </w:r>
      <w:r w:rsidRPr="58F5987A" w:rsidR="57DF47D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say</w:t>
      </w:r>
      <w:r w:rsidRPr="58F5987A" w:rsidR="57DF47D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“a more professional and efficient police organizational structure that removed officers from political control but that also removed them from the communities they served”</w:t>
      </w:r>
      <w:r w:rsidRPr="58F5987A">
        <w:rPr>
          <w:rStyle w:val="FootnoteReference"/>
          <w:rFonts w:ascii="Verdana" w:hAnsi="Verdana" w:eastAsia="Verdana" w:cs="Verdana"/>
          <w:b w:val="0"/>
          <w:bCs w:val="0"/>
          <w:i w:val="0"/>
          <w:iCs w:val="0"/>
          <w:u w:val="none"/>
        </w:rPr>
        <w:footnoteReference w:id="3031"/>
      </w:r>
      <w:r w:rsidRPr="58F5987A" w:rsidR="7F458FB6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. </w:t>
      </w:r>
      <w:r w:rsidRPr="58F5987A" w:rsidR="686333B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This institutionally </w:t>
      </w:r>
      <w:r w:rsidRPr="58F5987A" w:rsidR="5C603C8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driven narrative of the police successfully transitioning towards neutrality </w:t>
      </w:r>
      <w:r w:rsidRPr="58F5987A" w:rsidR="645C2A0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is glaringly contradicted by the testimony</w:t>
      </w:r>
      <w:r w:rsidRPr="58F5987A" w:rsidR="1976BF7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, as it propels an image of a violent police force driven, in at least some manner, by the racial feelings and tensions of the </w:t>
      </w:r>
      <w:r w:rsidRPr="58F5987A" w:rsidR="639785D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period made only worse by the economic struggles during the Great Depression, and anger towards striking workers. </w:t>
      </w:r>
      <w:r w:rsidRPr="58F5987A" w:rsidR="7CD1134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The police acted as a highly politicised punitive force for Republic Steel, committing an act of political</w:t>
      </w:r>
      <w:r w:rsidRPr="58F5987A" w:rsidR="6A82FBE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repression</w:t>
      </w:r>
      <w:r w:rsidRPr="58F5987A" w:rsidR="1E20AF1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in the most contradictory way possible. The institutional </w:t>
      </w:r>
      <w:r w:rsidRPr="58F5987A" w:rsidR="72858D4B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behaviour stemmed from a self-inflated image they projected, de</w:t>
      </w:r>
      <w:r w:rsidRPr="58F5987A" w:rsidR="597FEB0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s</w:t>
      </w:r>
      <w:r w:rsidRPr="58F5987A" w:rsidR="72858D4B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cribing themselves as a “thin blue line </w:t>
      </w:r>
      <w:r w:rsidRPr="58F5987A" w:rsidR="7EE2C96D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between order and chaos... [which] combine[s] to insulate the police”</w:t>
      </w:r>
      <w:r w:rsidRPr="58F5987A">
        <w:rPr>
          <w:rStyle w:val="FootnoteReference"/>
          <w:rFonts w:ascii="Verdana" w:hAnsi="Verdana" w:eastAsia="Verdana" w:cs="Verdana"/>
          <w:b w:val="0"/>
          <w:bCs w:val="0"/>
          <w:i w:val="0"/>
          <w:iCs w:val="0"/>
          <w:u w:val="none"/>
        </w:rPr>
        <w:footnoteReference w:id="7236"/>
      </w:r>
      <w:r w:rsidRPr="58F5987A" w:rsidR="666BF04D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, protecting themselves from external accountability. </w:t>
      </w:r>
      <w:r w:rsidRPr="58F5987A" w:rsidR="7F830EA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It can also be argued that whilst the strike could be seen as ‘</w:t>
      </w:r>
      <w:r w:rsidRPr="58F5987A" w:rsidR="7F830EA1">
        <w:rPr>
          <w:rFonts w:ascii="Verdana" w:hAnsi="Verdana" w:eastAsia="Verdana" w:cs="Verdana"/>
          <w:b w:val="0"/>
          <w:bCs w:val="0"/>
          <w:i w:val="1"/>
          <w:iCs w:val="1"/>
          <w:u w:val="none"/>
        </w:rPr>
        <w:t>chaos</w:t>
      </w:r>
      <w:r w:rsidRPr="58F5987A" w:rsidR="7F830EA1">
        <w:rPr>
          <w:rFonts w:ascii="Verdana" w:hAnsi="Verdana" w:eastAsia="Verdana" w:cs="Verdana"/>
          <w:b w:val="0"/>
          <w:bCs w:val="0"/>
          <w:i w:val="1"/>
          <w:iCs w:val="1"/>
          <w:u w:val="none"/>
        </w:rPr>
        <w:t>’</w:t>
      </w:r>
      <w:r w:rsidRPr="58F5987A" w:rsidR="731997F5">
        <w:rPr>
          <w:rFonts w:ascii="Verdana" w:hAnsi="Verdana" w:eastAsia="Verdana" w:cs="Verdana"/>
          <w:b w:val="0"/>
          <w:bCs w:val="0"/>
          <w:i w:val="1"/>
          <w:iCs w:val="1"/>
          <w:u w:val="none"/>
        </w:rPr>
        <w:t>,</w:t>
      </w:r>
      <w:r w:rsidRPr="58F5987A" w:rsidR="731997F5">
        <w:rPr>
          <w:rFonts w:ascii="Verdana" w:hAnsi="Verdana" w:eastAsia="Verdana" w:cs="Verdana"/>
          <w:b w:val="0"/>
          <w:bCs w:val="0"/>
          <w:i w:val="1"/>
          <w:iCs w:val="1"/>
          <w:u w:val="none"/>
        </w:rPr>
        <w:t xml:space="preserve"> </w:t>
      </w:r>
      <w:r w:rsidRPr="58F5987A" w:rsidR="731997F5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I would instead argue that the institutional narrative of the ‘</w:t>
      </w:r>
      <w:r w:rsidRPr="58F5987A" w:rsidR="731997F5">
        <w:rPr>
          <w:rFonts w:ascii="Verdana" w:hAnsi="Verdana" w:eastAsia="Verdana" w:cs="Verdana"/>
          <w:b w:val="0"/>
          <w:bCs w:val="0"/>
          <w:i w:val="1"/>
          <w:iCs w:val="1"/>
          <w:u w:val="none"/>
        </w:rPr>
        <w:t>thin</w:t>
      </w:r>
      <w:r w:rsidRPr="58F5987A" w:rsidR="33DB8D54">
        <w:rPr>
          <w:rFonts w:ascii="Verdana" w:hAnsi="Verdana" w:eastAsia="Verdana" w:cs="Verdana"/>
          <w:b w:val="0"/>
          <w:bCs w:val="0"/>
          <w:i w:val="1"/>
          <w:iCs w:val="1"/>
          <w:u w:val="none"/>
        </w:rPr>
        <w:t xml:space="preserve"> blue line’ </w:t>
      </w:r>
      <w:r w:rsidRPr="58F5987A" w:rsidR="14B03844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offered a psychological justification and power trip allowing them to</w:t>
      </w:r>
      <w:r w:rsidRPr="58F5987A" w:rsidR="03CACE9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inorganically conjure this view of organised labour as ‘</w:t>
      </w:r>
      <w:r w:rsidRPr="58F5987A" w:rsidR="6027A082">
        <w:rPr>
          <w:rFonts w:ascii="Verdana" w:hAnsi="Verdana" w:eastAsia="Verdana" w:cs="Verdana"/>
          <w:b w:val="0"/>
          <w:bCs w:val="0"/>
          <w:i w:val="1"/>
          <w:iCs w:val="1"/>
          <w:u w:val="none"/>
        </w:rPr>
        <w:t xml:space="preserve">Chaos’ </w:t>
      </w:r>
      <w:r w:rsidRPr="58F5987A" w:rsidR="6027A08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to be crushed. </w:t>
      </w:r>
      <w:r w:rsidRPr="58F5987A" w:rsidR="12227D0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The brutality and clubbing of non-resistant victims along with the denial of first aid was </w:t>
      </w:r>
      <w:r w:rsidRPr="58F5987A" w:rsidR="12227D0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arguably a</w:t>
      </w:r>
      <w:r w:rsidRPr="58F5987A" w:rsidR="2E1297B6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predictable outcome of this mission as this “sense of mission... pitted against forces of anarchy and disorder... can account for the most shocking abuses of police power”</w:t>
      </w:r>
      <w:r w:rsidRPr="58F5987A">
        <w:rPr>
          <w:rStyle w:val="FootnoteReference"/>
          <w:rFonts w:ascii="Verdana" w:hAnsi="Verdana" w:eastAsia="Verdana" w:cs="Verdana"/>
          <w:b w:val="0"/>
          <w:bCs w:val="0"/>
          <w:i w:val="0"/>
          <w:iCs w:val="0"/>
          <w:u w:val="none"/>
        </w:rPr>
        <w:footnoteReference w:id="19259"/>
      </w:r>
      <w:r w:rsidRPr="58F5987A" w:rsidR="638043B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. </w:t>
      </w:r>
      <w:r w:rsidRPr="58F5987A" w:rsidR="764D9069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The wider significance of the testimony lies in its effect </w:t>
      </w:r>
      <w:r w:rsidRPr="58F5987A" w:rsidR="2B2E6D0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on the federal government's authority and their use of police. </w:t>
      </w:r>
      <w:r w:rsidRPr="58F5987A" w:rsidR="5689D9C4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The actions of the police, which is what led to the name ‘massacre’ were fuelled by a historical tradition of class control</w:t>
      </w:r>
      <w:r w:rsidRPr="58F5987A" w:rsidR="4496AC1F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, where they were “charged with keeping the activities of the ‘dangerous classes’ away from the elite”</w:t>
      </w:r>
      <w:r w:rsidRPr="58F5987A">
        <w:rPr>
          <w:rStyle w:val="FootnoteReference"/>
          <w:rFonts w:ascii="Verdana" w:hAnsi="Verdana" w:eastAsia="Verdana" w:cs="Verdana"/>
          <w:b w:val="0"/>
          <w:bCs w:val="0"/>
          <w:i w:val="0"/>
          <w:iCs w:val="0"/>
          <w:u w:val="none"/>
        </w:rPr>
        <w:footnoteReference w:id="12062"/>
      </w:r>
      <w:r w:rsidRPr="58F5987A" w:rsidR="3F74D859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. </w:t>
      </w:r>
      <w:r w:rsidRPr="58F5987A" w:rsidR="03A6EFA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The U.S. Senate’s investigation was essential for preserving the New Deal narrative which </w:t>
      </w:r>
      <w:r w:rsidRPr="58F5987A" w:rsidR="03A6EFA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sought</w:t>
      </w:r>
      <w:r w:rsidRPr="58F5987A" w:rsidR="03A6EFA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</w:t>
      </w:r>
      <w:r w:rsidRPr="58F5987A" w:rsidR="6E6AB95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to secure </w:t>
      </w:r>
      <w:r w:rsidRPr="58F5987A" w:rsidR="6E6AB95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workers</w:t>
      </w:r>
      <w:r w:rsidRPr="58F5987A" w:rsidR="6E6AB95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rights </w:t>
      </w:r>
      <w:r w:rsidRPr="58F5987A" w:rsidR="6E6AB95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by </w:t>
      </w:r>
      <w:r w:rsidRPr="58F5987A" w:rsidR="24C91B3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”preventing</w:t>
      </w:r>
      <w:r w:rsidRPr="58F5987A" w:rsidR="24C91B3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practices which tend to destroy the independence of </w:t>
      </w:r>
      <w:r w:rsidRPr="58F5987A" w:rsidR="24C91B3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labor</w:t>
      </w:r>
      <w:r w:rsidRPr="58F5987A" w:rsidR="24C91B3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”</w:t>
      </w:r>
      <w:r w:rsidRPr="58F5987A">
        <w:rPr>
          <w:rStyle w:val="FootnoteReference"/>
          <w:rFonts w:ascii="Verdana" w:hAnsi="Verdana" w:eastAsia="Verdana" w:cs="Verdana"/>
          <w:b w:val="0"/>
          <w:bCs w:val="0"/>
          <w:i w:val="0"/>
          <w:iCs w:val="0"/>
          <w:u w:val="none"/>
        </w:rPr>
        <w:footnoteReference w:id="12671"/>
      </w:r>
      <w:r w:rsidRPr="58F5987A" w:rsidR="6F7AA46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and </w:t>
      </w:r>
      <w:r w:rsidRPr="58F5987A" w:rsidR="6F7AA46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assuring ”freedom</w:t>
      </w:r>
      <w:r w:rsidRPr="58F5987A" w:rsidR="6F7AA46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of choice and action which is justly his”</w:t>
      </w:r>
      <w:r w:rsidRPr="58F5987A">
        <w:rPr>
          <w:rStyle w:val="FootnoteReference"/>
          <w:rFonts w:ascii="Verdana" w:hAnsi="Verdana" w:eastAsia="Verdana" w:cs="Verdana"/>
          <w:b w:val="0"/>
          <w:bCs w:val="0"/>
          <w:i w:val="0"/>
          <w:iCs w:val="0"/>
          <w:u w:val="none"/>
        </w:rPr>
        <w:footnoteReference w:id="31104"/>
      </w:r>
      <w:r w:rsidRPr="58F5987A" w:rsidR="2894E9CD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. This again </w:t>
      </w:r>
      <w:r w:rsidRPr="58F5987A" w:rsidR="6423680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demonstrates</w:t>
      </w:r>
      <w:r w:rsidRPr="58F5987A" w:rsidR="6423680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the lack of reform for police in an era known as the Reform Era as well as reinstating the racial and po</w:t>
      </w:r>
      <w:r w:rsidRPr="58F5987A" w:rsidR="70D968A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litical undertones that continued to drive police action </w:t>
      </w:r>
      <w:r w:rsidRPr="58F5987A" w:rsidR="349CEF5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despite their claims to have improved into the inhumane, </w:t>
      </w:r>
      <w:r w:rsidRPr="58F5987A" w:rsidR="349CEF5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heartless</w:t>
      </w:r>
      <w:r w:rsidRPr="58F5987A" w:rsidR="349CEF5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and state driven design explained in t</w:t>
      </w:r>
      <w:r w:rsidRPr="58F5987A" w:rsidR="735FA9A5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he Professional Model. </w:t>
      </w:r>
      <w:r w:rsidRPr="58F5987A" w:rsidR="640BDCE6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The hearings themselves </w:t>
      </w:r>
      <w:r w:rsidRPr="58F5987A" w:rsidR="297F7E5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acted as a government mechanism for </w:t>
      </w:r>
      <w:r w:rsidRPr="58F5987A" w:rsidR="648D8DC9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initiating</w:t>
      </w:r>
      <w:r w:rsidRPr="58F5987A" w:rsidR="648D8DC9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reform and show its commitment to restoring public trust, highlighting political imperative tha</w:t>
      </w:r>
      <w:r w:rsidRPr="58F5987A" w:rsidR="59390FF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 </w:t>
      </w:r>
      <w:r w:rsidRPr="58F5987A" w:rsidR="2ADA425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the ”thrust</w:t>
      </w:r>
      <w:r w:rsidRPr="58F5987A" w:rsidR="59390FF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o</w:t>
      </w:r>
      <w:r w:rsidRPr="58F5987A" w:rsidR="29501AA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f</w:t>
      </w:r>
      <w:r w:rsidRPr="58F5987A" w:rsidR="59390FF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the announcements was that the state would win the war against crime”</w:t>
      </w:r>
      <w:r w:rsidRPr="58F5987A">
        <w:rPr>
          <w:rStyle w:val="FootnoteReference"/>
          <w:rFonts w:ascii="Verdana" w:hAnsi="Verdana" w:eastAsia="Verdana" w:cs="Verdana"/>
          <w:b w:val="0"/>
          <w:bCs w:val="0"/>
          <w:i w:val="0"/>
          <w:iCs w:val="0"/>
          <w:u w:val="none"/>
        </w:rPr>
        <w:footnoteReference w:id="13812"/>
      </w:r>
      <w:r w:rsidRPr="58F5987A" w:rsidR="1D29206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. </w:t>
      </w:r>
      <w:r w:rsidRPr="58F5987A" w:rsidR="42E66F6F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This quote I find to be bitterly ironic because Marshall’s testimony proves that </w:t>
      </w:r>
      <w:r w:rsidRPr="58F5987A" w:rsidR="42E66F6F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the</w:t>
      </w:r>
      <w:r w:rsidRPr="58F5987A" w:rsidR="5E8E232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”war</w:t>
      </w:r>
      <w:r w:rsidRPr="58F5987A" w:rsidR="5E8E232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on crime starting in 1933”</w:t>
      </w:r>
      <w:r w:rsidRPr="58F5987A">
        <w:rPr>
          <w:rStyle w:val="FootnoteReference"/>
          <w:rFonts w:ascii="Verdana" w:hAnsi="Verdana" w:eastAsia="Verdana" w:cs="Verdana"/>
          <w:b w:val="0"/>
          <w:bCs w:val="0"/>
          <w:i w:val="0"/>
          <w:iCs w:val="0"/>
          <w:u w:val="none"/>
        </w:rPr>
        <w:footnoteReference w:id="14209"/>
      </w:r>
      <w:r w:rsidRPr="58F5987A" w:rsidR="43A78C49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was and all out failure </w:t>
      </w:r>
      <w:r w:rsidRPr="58F5987A" w:rsidR="147E580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with no improvement </w:t>
      </w:r>
      <w:r w:rsidRPr="58F5987A" w:rsidR="11DE402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in policing or the racial and political </w:t>
      </w:r>
      <w:r w:rsidRPr="58F5987A" w:rsidR="6FA3A8D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catalysts that drove the way police dealt with these issues. </w:t>
      </w:r>
    </w:p>
    <w:p w:rsidR="6966F6B3" w:rsidP="58F5987A" w:rsidRDefault="6966F6B3" w14:paraId="557BB2E4" w14:textId="1103CAE1">
      <w:pPr>
        <w:pStyle w:val="Normal"/>
        <w:spacing w:line="480" w:lineRule="auto"/>
        <w:ind w:firstLine="720"/>
        <w:jc w:val="both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  <w:r w:rsidRPr="58F5987A" w:rsidR="11CEC0B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This testimony is the historical preceding to the modern punitive model. </w:t>
      </w:r>
      <w:r w:rsidRPr="58F5987A" w:rsidR="3508CF44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The attack on unarmed workers</w:t>
      </w:r>
      <w:r w:rsidRPr="58F5987A" w:rsidR="3F65452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,</w:t>
      </w:r>
      <w:r w:rsidRPr="58F5987A" w:rsidR="3508CF44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</w:t>
      </w:r>
      <w:r w:rsidRPr="58F5987A" w:rsidR="38906273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using massive state power to </w:t>
      </w:r>
      <w:r w:rsidRPr="58F5987A" w:rsidR="38906273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maintain</w:t>
      </w:r>
      <w:r w:rsidRPr="58F5987A" w:rsidR="38906273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social control, </w:t>
      </w:r>
      <w:r w:rsidRPr="58F5987A" w:rsidR="3508CF44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foreshadows the political strategy that wo</w:t>
      </w:r>
      <w:r w:rsidRPr="58F5987A" w:rsidR="5D80E38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uld come to define the following decades</w:t>
      </w:r>
      <w:r w:rsidRPr="58F5987A" w:rsidR="6BB8E35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. </w:t>
      </w:r>
      <w:r w:rsidRPr="58F5987A" w:rsidR="058EF1ED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Marshall’s testimony sheds light on how definitions of crime and justice are not simply legal or moral </w:t>
      </w:r>
      <w:r w:rsidRPr="58F5987A" w:rsidR="058EF1ED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categories</w:t>
      </w:r>
      <w:r w:rsidRPr="58F5987A" w:rsidR="1D7B268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, but</w:t>
      </w:r>
      <w:r w:rsidRPr="58F5987A" w:rsidR="1D7B268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are often shaped by political power structures and social class hierarchies.</w:t>
      </w:r>
      <w:r w:rsidRPr="58F5987A" w:rsidR="0BB6B25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In the case of the Chicago Memorial Day Massacre, steelworkers engaged in a legitimate protest for better working conditions were criminalized by the state, portrayed as a threat to public order. This narrative, reminiscent of the 'Thin Blue Line' mentality, cast the workers as 'chaos,' providing the police with a moral justification for their actions. </w:t>
      </w:r>
      <w:r w:rsidRPr="58F5987A" w:rsidR="2B7CF01F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This </w:t>
      </w:r>
      <w:r w:rsidRPr="58F5987A" w:rsidR="2B7CF01F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perception</w:t>
      </w:r>
      <w:r w:rsidRPr="58F5987A" w:rsidR="2B7CF01F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was further reinforced by the historical conte</w:t>
      </w:r>
      <w:r w:rsidRPr="58F5987A" w:rsidR="6A93A38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xt, where militaristic </w:t>
      </w:r>
      <w:r w:rsidRPr="58F5987A" w:rsidR="788E3B5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language, such as the language used in the Roosevelt administration’s official commitment to “wage a war on crime”</w:t>
      </w:r>
      <w:r w:rsidRPr="58F5987A">
        <w:rPr>
          <w:rStyle w:val="FootnoteReference"/>
          <w:rFonts w:ascii="Verdana" w:hAnsi="Verdana" w:eastAsia="Verdana" w:cs="Verdana"/>
          <w:b w:val="0"/>
          <w:bCs w:val="0"/>
          <w:i w:val="0"/>
          <w:iCs w:val="0"/>
          <w:u w:val="none"/>
        </w:rPr>
        <w:footnoteReference w:id="2923"/>
      </w:r>
      <w:r w:rsidRPr="58F5987A" w:rsidR="2C1D426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was sued to strengthen law enforcement. Meanwhile, polices violent actions which resulted in the de</w:t>
      </w:r>
      <w:r w:rsidRPr="58F5987A" w:rsidR="33D42E0F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aths of several workers went </w:t>
      </w:r>
      <w:r w:rsidRPr="58F5987A" w:rsidR="33D42E0F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largely unpunished</w:t>
      </w:r>
      <w:r w:rsidRPr="58F5987A" w:rsidR="33D42E0F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, and were treated as justified, reflecting the fundamental contradiction and </w:t>
      </w:r>
      <w:r w:rsidRPr="58F5987A" w:rsidR="2B390BE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lack of progression in the application of justice. </w:t>
      </w:r>
    </w:p>
    <w:p w:rsidR="6966F6B3" w:rsidP="58F5987A" w:rsidRDefault="6966F6B3" w14:paraId="2613C732" w14:textId="0D071E1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  <w:r w:rsidRPr="58F5987A" w:rsidR="1C68B33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This dynamic is crucial to understanding the evolution of crime and justice in the 20</w:t>
      </w:r>
      <w:r w:rsidRPr="58F5987A" w:rsidR="1C68B331">
        <w:rPr>
          <w:rFonts w:ascii="Verdana" w:hAnsi="Verdana" w:eastAsia="Verdana" w:cs="Verdana"/>
          <w:b w:val="0"/>
          <w:bCs w:val="0"/>
          <w:i w:val="0"/>
          <w:iCs w:val="0"/>
          <w:u w:val="none"/>
          <w:vertAlign w:val="superscript"/>
        </w:rPr>
        <w:t>th</w:t>
      </w:r>
      <w:r w:rsidRPr="58F5987A" w:rsidR="1C68B33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century, particularly in relation to state violence and the criminalisation of dissen</w:t>
      </w:r>
      <w:r w:rsidRPr="58F5987A" w:rsidR="436C956D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t. This testimony acts as an early </w:t>
      </w:r>
      <w:r w:rsidRPr="58F5987A" w:rsidR="65D91CB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indicator to the more institutionalised methods of punitive control that would </w:t>
      </w:r>
      <w:r w:rsidRPr="58F5987A" w:rsidR="65D91CB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emerge</w:t>
      </w:r>
      <w:r w:rsidRPr="58F5987A" w:rsidR="65D91CB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later. </w:t>
      </w:r>
      <w:r w:rsidRPr="58F5987A" w:rsidR="28F67C0D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The police’s violent actions highlight the connection between the application of justice and economic power, further emphasizing that by 1937, a 'war' had already begun—a war of police against the everyman. The militaristic impulse again stemmed from the police’s own self narrative, v</w:t>
      </w:r>
      <w:r w:rsidRPr="58F5987A" w:rsidR="6FA30CB9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iewing themselves as the “thin blue line between order and chaos”</w:t>
      </w:r>
      <w:r w:rsidRPr="58F5987A">
        <w:rPr>
          <w:rStyle w:val="FootnoteReference"/>
          <w:rFonts w:ascii="Verdana" w:hAnsi="Verdana" w:eastAsia="Verdana" w:cs="Verdana"/>
          <w:b w:val="0"/>
          <w:bCs w:val="0"/>
          <w:i w:val="0"/>
          <w:iCs w:val="0"/>
          <w:u w:val="none"/>
        </w:rPr>
        <w:footnoteReference w:id="28969"/>
      </w:r>
      <w:r w:rsidRPr="58F5987A" w:rsidR="2E0BB1B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, </w:t>
      </w:r>
      <w:r w:rsidRPr="58F5987A" w:rsidR="4AF2DAB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a mindset which </w:t>
      </w:r>
      <w:r w:rsidRPr="58F5987A" w:rsidR="2E0BB1B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instilled a sense of purpose that justified the use of overwhelming force.</w:t>
      </w:r>
      <w:r w:rsidRPr="58F5987A" w:rsidR="3166B4B5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</w:t>
      </w:r>
      <w:r w:rsidRPr="58F5987A" w:rsidR="655C297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The testimony provided highlights an early, stark example of state sanctioned violence used to suppress </w:t>
      </w:r>
      <w:r w:rsidRPr="58F5987A" w:rsidR="389F6C4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labour protests during the Great Depression. This reflects broader patterns in 20</w:t>
      </w:r>
      <w:r w:rsidRPr="58F5987A" w:rsidR="389F6C4A">
        <w:rPr>
          <w:rFonts w:ascii="Verdana" w:hAnsi="Verdana" w:eastAsia="Verdana" w:cs="Verdana"/>
          <w:b w:val="0"/>
          <w:bCs w:val="0"/>
          <w:i w:val="0"/>
          <w:iCs w:val="0"/>
          <w:u w:val="none"/>
          <w:vertAlign w:val="superscript"/>
        </w:rPr>
        <w:t>th</w:t>
      </w:r>
      <w:r w:rsidRPr="58F5987A" w:rsidR="389F6C4A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century policing, particularly in how power structures, whether it be political, </w:t>
      </w:r>
      <w:r w:rsidRPr="58F5987A" w:rsidR="0AB4E2D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economic</w:t>
      </w:r>
      <w:r w:rsidRPr="58F5987A" w:rsidR="0AB4E2D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or racial, shape the definitions of crime and justice. As Garland discusses in </w:t>
      </w:r>
      <w:r w:rsidRPr="58F5987A" w:rsidR="0AB4E2D7">
        <w:rPr>
          <w:rFonts w:ascii="Verdana" w:hAnsi="Verdana" w:eastAsia="Verdana" w:cs="Verdana"/>
          <w:b w:val="0"/>
          <w:bCs w:val="0"/>
          <w:i w:val="1"/>
          <w:iCs w:val="1"/>
          <w:u w:val="none"/>
        </w:rPr>
        <w:t xml:space="preserve">The Culture of Control, </w:t>
      </w:r>
      <w:r w:rsidRPr="58F5987A" w:rsidR="3B3529A5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the attraction of </w:t>
      </w:r>
      <w:r w:rsidRPr="58F5987A" w:rsidR="3B3529A5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a ”sovereign</w:t>
      </w:r>
      <w:r w:rsidRPr="58F5987A" w:rsidR="3B3529A5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” response to crime is the idea of force being an imm</w:t>
      </w:r>
      <w:r w:rsidRPr="58F5987A" w:rsidR="4465B025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ediate, authoritative intervention to restore order.</w:t>
      </w:r>
      <w:r w:rsidRPr="58F5987A">
        <w:rPr>
          <w:rStyle w:val="FootnoteReference"/>
          <w:rFonts w:ascii="Verdana" w:hAnsi="Verdana" w:eastAsia="Verdana" w:cs="Verdana"/>
          <w:b w:val="0"/>
          <w:bCs w:val="0"/>
          <w:i w:val="0"/>
          <w:iCs w:val="0"/>
          <w:u w:val="none"/>
        </w:rPr>
        <w:footnoteReference w:id="4397"/>
      </w:r>
      <w:r w:rsidRPr="58F5987A" w:rsidR="01096C7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In this light the polices use of overwhelming force </w:t>
      </w:r>
      <w:r w:rsidRPr="58F5987A" w:rsidR="3EEECF6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during the massacre can be understood as part of a larger political strategy of state control, aimed not just criminalising the dissent, but reinforcing class and racial </w:t>
      </w:r>
      <w:r w:rsidRPr="58F5987A" w:rsidR="6EAE341B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hierarchies that </w:t>
      </w:r>
      <w:r w:rsidRPr="58F5987A" w:rsidR="539320B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aligned</w:t>
      </w:r>
      <w:r w:rsidRPr="58F5987A" w:rsidR="6EAE341B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with economic and political elites.</w:t>
      </w:r>
      <w:r w:rsidRPr="58F5987A" w:rsidR="396281BC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By violently suppressing peaceful protests, the police themselves become the instigators of violence, turning what could have been a non-violent </w:t>
      </w:r>
      <w:r w:rsidRPr="58F5987A" w:rsidR="04AC62FB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demonstration of </w:t>
      </w:r>
      <w:r w:rsidRPr="58F5987A" w:rsidR="04AC62FB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workers</w:t>
      </w:r>
      <w:r w:rsidRPr="58F5987A" w:rsidR="04AC62FB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rights into armed conflict. This was the polices way of not ju</w:t>
      </w:r>
      <w:r w:rsidRPr="58F5987A" w:rsidR="13CAE93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st ’maintaining order’ but also shaping a narrative around who could protest and what forms protests could take. When </w:t>
      </w:r>
      <w:r w:rsidRPr="58F5987A" w:rsidR="1A5BE5A6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the state uses </w:t>
      </w:r>
      <w:r w:rsidRPr="58F5987A" w:rsidR="689753D3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disproportionate</w:t>
      </w:r>
      <w:r w:rsidRPr="58F5987A" w:rsidR="1A5BE5A6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force, </w:t>
      </w:r>
      <w:r w:rsidRPr="58F5987A" w:rsidR="19972475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especially</w:t>
      </w:r>
      <w:r w:rsidRPr="58F5987A" w:rsidR="1A5BE5A6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through police action, to squash protest </w:t>
      </w:r>
      <w:r w:rsidRPr="58F5987A" w:rsidR="67FFBE55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it shifts the dynamic of protests from a social issue to a security issue, criminalising those who challenge status quo creating a narrative that </w:t>
      </w:r>
      <w:r w:rsidRPr="58F5987A" w:rsidR="78323DEE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protest is dangerous and disruptive. </w:t>
      </w:r>
      <w:r w:rsidRPr="58F5987A" w:rsidR="28B828F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Garland </w:t>
      </w:r>
      <w:r w:rsidRPr="58F5987A" w:rsidR="269AC910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argues that some control practices are driven by the belief </w:t>
      </w:r>
      <w:r w:rsidRPr="58F5987A" w:rsidR="420F1573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that society must become less mobile with marginalised groups often </w:t>
      </w:r>
      <w:bookmarkStart w:name="_Int_yOLQUIsE" w:id="254487228"/>
      <w:r w:rsidRPr="58F5987A" w:rsidR="420F1573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being ”quarantined</w:t>
      </w:r>
      <w:bookmarkEnd w:id="254487228"/>
      <w:r w:rsidRPr="58F5987A" w:rsidR="420F1573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”</w:t>
      </w:r>
      <w:r w:rsidRPr="58F5987A">
        <w:rPr>
          <w:rStyle w:val="FootnoteReference"/>
          <w:rFonts w:ascii="Verdana" w:hAnsi="Verdana" w:eastAsia="Verdana" w:cs="Verdana"/>
          <w:b w:val="0"/>
          <w:bCs w:val="0"/>
          <w:i w:val="0"/>
          <w:iCs w:val="0"/>
          <w:u w:val="none"/>
        </w:rPr>
        <w:footnoteReference w:id="14783"/>
      </w:r>
      <w:r w:rsidRPr="58F5987A" w:rsidR="45F7917F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from mainstream society. The massacre exemplifies this where workers and their families were not only denied the right to protest but were treated as enemies of the state. </w:t>
      </w:r>
      <w:r w:rsidRPr="58F5987A" w:rsidR="6CF68A4D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This reflects the role of state violence in </w:t>
      </w:r>
      <w:bookmarkStart w:name="_Int_T1Vxaxso" w:id="154481421"/>
      <w:r w:rsidRPr="58F5987A" w:rsidR="6CF68A4D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maintaining</w:t>
      </w:r>
      <w:bookmarkEnd w:id="154481421"/>
      <w:r w:rsidRPr="58F5987A" w:rsidR="6CF68A4D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social order, with economic power shaping who is seen as a ’threat</w:t>
      </w:r>
      <w:r w:rsidRPr="58F5987A" w:rsidR="6CF68A4D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’.</w:t>
      </w:r>
      <w:r w:rsidRPr="58F5987A" w:rsidR="6CF68A4D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</w:t>
      </w:r>
      <w:r w:rsidRPr="58F5987A" w:rsidR="2936FBE4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The Memorial Day Massacre highlights how crime and justice in the 20</w:t>
      </w:r>
      <w:r w:rsidRPr="58F5987A" w:rsidR="2936FBE4">
        <w:rPr>
          <w:rFonts w:ascii="Verdana" w:hAnsi="Verdana" w:eastAsia="Verdana" w:cs="Verdana"/>
          <w:b w:val="0"/>
          <w:bCs w:val="0"/>
          <w:i w:val="0"/>
          <w:iCs w:val="0"/>
          <w:u w:val="none"/>
          <w:vertAlign w:val="superscript"/>
        </w:rPr>
        <w:t>th</w:t>
      </w:r>
      <w:r w:rsidRPr="58F5987A" w:rsidR="2936FBE4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century were intertwined wi</w:t>
      </w:r>
      <w:r w:rsidRPr="58F5987A" w:rsidR="422C3609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th political and economic struggles, particularly in the criminalisation of dissent. </w:t>
      </w:r>
      <w:r w:rsidRPr="58F5987A" w:rsidR="2E7FB7F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Roosevelt's</w:t>
      </w:r>
      <w:r w:rsidRPr="58F5987A" w:rsidR="422C3609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</w:t>
      </w:r>
      <w:r w:rsidRPr="58F5987A" w:rsidR="422C3609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administrations ”</w:t>
      </w:r>
      <w:r w:rsidRPr="58F5987A" w:rsidR="0BA85C5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war</w:t>
      </w:r>
      <w:r w:rsidRPr="58F5987A" w:rsidR="0BA85C5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on crime” language was, as Denny notes</w:t>
      </w:r>
      <w:r w:rsidRPr="58F5987A" w:rsidR="0736B38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, framed both crime and labour unrest as a battle </w:t>
      </w:r>
      <w:r w:rsidRPr="58F5987A" w:rsidR="0736B38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of ”order</w:t>
      </w:r>
      <w:r w:rsidRPr="58F5987A" w:rsidR="0736B38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versus chaos”</w:t>
      </w:r>
      <w:r w:rsidRPr="58F5987A">
        <w:rPr>
          <w:rStyle w:val="FootnoteReference"/>
          <w:rFonts w:ascii="Verdana" w:hAnsi="Verdana" w:eastAsia="Verdana" w:cs="Verdana"/>
          <w:b w:val="0"/>
          <w:bCs w:val="0"/>
          <w:i w:val="0"/>
          <w:iCs w:val="0"/>
          <w:u w:val="none"/>
        </w:rPr>
        <w:footnoteReference w:id="26720"/>
      </w:r>
      <w:r w:rsidRPr="58F5987A" w:rsidR="010EBC41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aligning with Garland’s theories of social control. Marshall’s testimony underscores how crime, policing and justice were influenced not only </w:t>
      </w:r>
      <w:r w:rsidRPr="58F5987A" w:rsidR="37809CC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by the politics of the age but also by longer patterns of exclusion and economic inequality. As Gurr argues, violence and social inequality in urban areas are </w:t>
      </w:r>
      <w:r w:rsidRPr="58F5987A" w:rsidR="37809CC7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closely </w:t>
      </w:r>
      <w:r w:rsidRPr="58F5987A" w:rsidR="19E9AAF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linked</w:t>
      </w:r>
      <w:r w:rsidRPr="58F5987A" w:rsidR="19E9AAF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, showing how policing, when driven by economic and political interests, often deepens social divides </w:t>
      </w:r>
      <w:r w:rsidRPr="58F5987A" w:rsidR="22DFD03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rather than solving them. Marshall’s account powerfully </w:t>
      </w:r>
      <w:r w:rsidRPr="58F5987A" w:rsidR="5EA5A5A3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illustrates</w:t>
      </w:r>
      <w:r w:rsidRPr="58F5987A" w:rsidR="22DFD03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how state power, in </w:t>
      </w:r>
      <w:r w:rsidRPr="58F5987A" w:rsidR="68B4242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conjunction</w:t>
      </w:r>
      <w:r w:rsidRPr="58F5987A" w:rsidR="22DFD038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 with corporate and political interests became a tool to </w:t>
      </w:r>
      <w:r w:rsidRPr="58F5987A" w:rsidR="7613FBB2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 xml:space="preserve">marginalise the working class and minority groups. </w:t>
      </w:r>
    </w:p>
    <w:p w:rsidR="6966F6B3" w:rsidP="58F5987A" w:rsidRDefault="6966F6B3" w14:paraId="423BE0DE" w14:textId="749E64C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</w:p>
    <w:p w:rsidR="6966F6B3" w:rsidP="58F5987A" w:rsidRDefault="6966F6B3" w14:paraId="4E89D247" w14:textId="6C92398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</w:p>
    <w:p w:rsidR="6966F6B3" w:rsidP="58F5987A" w:rsidRDefault="6966F6B3" w14:paraId="25F28F4C" w14:textId="66A0810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</w:p>
    <w:p w:rsidR="6966F6B3" w:rsidP="58F5987A" w:rsidRDefault="6966F6B3" w14:paraId="38AE15A0" w14:textId="5D84657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</w:p>
    <w:p w:rsidR="6966F6B3" w:rsidP="58F5987A" w:rsidRDefault="6966F6B3" w14:paraId="51DA723C" w14:textId="4BF67C9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</w:p>
    <w:p w:rsidR="6966F6B3" w:rsidP="58F5987A" w:rsidRDefault="6966F6B3" w14:paraId="4E140DA8" w14:textId="685A4A2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</w:p>
    <w:p w:rsidR="6966F6B3" w:rsidP="58F5987A" w:rsidRDefault="6966F6B3" w14:paraId="5226BD0F" w14:textId="60BA670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</w:p>
    <w:p w:rsidR="6966F6B3" w:rsidP="58F5987A" w:rsidRDefault="6966F6B3" w14:paraId="2D009C6B" w14:textId="31ADCC5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</w:p>
    <w:p w:rsidR="6966F6B3" w:rsidP="58F5987A" w:rsidRDefault="6966F6B3" w14:paraId="76EBBD8D" w14:textId="3C03E32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</w:p>
    <w:p w:rsidR="6966F6B3" w:rsidP="58F5987A" w:rsidRDefault="6966F6B3" w14:paraId="76A0444A" w14:textId="721A2B1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</w:p>
    <w:p w:rsidR="6966F6B3" w:rsidP="58F5987A" w:rsidRDefault="6966F6B3" w14:paraId="235D597A" w14:textId="68C8938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</w:p>
    <w:p w:rsidR="6966F6B3" w:rsidP="58F5987A" w:rsidRDefault="6966F6B3" w14:paraId="596F48E0" w14:textId="4C70F38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</w:p>
    <w:p w:rsidR="6966F6B3" w:rsidP="58F5987A" w:rsidRDefault="6966F6B3" w14:paraId="3F58777A" w14:textId="5B1C299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both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</w:p>
    <w:p w:rsidR="6966F6B3" w:rsidP="58F5987A" w:rsidRDefault="6966F6B3" w14:paraId="4DB46B72" w14:textId="0551629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center"/>
        <w:rPr>
          <w:rFonts w:ascii="Verdana" w:hAnsi="Verdana" w:eastAsia="Verdana" w:cs="Verdana"/>
          <w:b w:val="1"/>
          <w:bCs w:val="1"/>
          <w:i w:val="0"/>
          <w:iCs w:val="0"/>
          <w:u w:val="single"/>
        </w:rPr>
      </w:pPr>
      <w:r w:rsidRPr="58F5987A" w:rsidR="22DFB530">
        <w:rPr>
          <w:rFonts w:ascii="Verdana" w:hAnsi="Verdana" w:eastAsia="Verdana" w:cs="Verdana"/>
          <w:b w:val="1"/>
          <w:bCs w:val="1"/>
          <w:i w:val="0"/>
          <w:iCs w:val="0"/>
          <w:u w:val="single"/>
        </w:rPr>
        <w:t>Bibliography</w:t>
      </w:r>
    </w:p>
    <w:p w:rsidR="6966F6B3" w:rsidP="58F5987A" w:rsidRDefault="6966F6B3" w14:paraId="18A70AF1" w14:textId="448C49E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Verdana" w:hAnsi="Verdana" w:eastAsia="Verdana" w:cs="Verdana"/>
          <w:b w:val="1"/>
          <w:bCs w:val="1"/>
          <w:i w:val="0"/>
          <w:iCs w:val="0"/>
          <w:u w:val="single"/>
        </w:rPr>
      </w:pPr>
    </w:p>
    <w:p w:rsidR="6966F6B3" w:rsidP="58F5987A" w:rsidRDefault="6966F6B3" w14:paraId="20F8164A" w14:textId="2589167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Verdana" w:hAnsi="Verdana" w:eastAsia="Verdana" w:cs="Verdana"/>
          <w:b w:val="1"/>
          <w:bCs w:val="1"/>
          <w:i w:val="0"/>
          <w:iCs w:val="0"/>
          <w:u w:val="single"/>
        </w:rPr>
      </w:pPr>
      <w:r w:rsidRPr="58F5987A" w:rsidR="0C0F738B">
        <w:rPr>
          <w:rFonts w:ascii="Verdana" w:hAnsi="Verdana" w:eastAsia="Verdana" w:cs="Verdana"/>
          <w:b w:val="1"/>
          <w:bCs w:val="1"/>
          <w:i w:val="0"/>
          <w:iCs w:val="0"/>
          <w:u w:val="single"/>
        </w:rPr>
        <w:t>Primary Source</w:t>
      </w:r>
    </w:p>
    <w:p w:rsidR="6966F6B3" w:rsidP="58F5987A" w:rsidRDefault="6966F6B3" w14:paraId="4F8C6B79" w14:textId="23538E9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  <w:r w:rsidRPr="58F5987A" w:rsidR="0C0F738B">
        <w:rPr>
          <w:rFonts w:ascii="Verdana" w:hAnsi="Verdana" w:eastAsia="Verdana" w:cs="Verdana"/>
          <w:b w:val="0"/>
          <w:bCs w:val="0"/>
          <w:i w:val="0"/>
          <w:iCs w:val="0"/>
          <w:u w:val="none"/>
        </w:rPr>
        <w:t>Marshall, Lupe, Excerpt of Testimony by Mrs. Lupe Marshall to the La Follette Committee Investigating the Chicago Memorial Day Massacre, 1937.</w:t>
      </w:r>
    </w:p>
    <w:p w:rsidR="6966F6B3" w:rsidP="58F5987A" w:rsidRDefault="6966F6B3" w14:paraId="56D3E7EB" w14:textId="0F48123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</w:p>
    <w:p w:rsidR="6966F6B3" w:rsidP="58F5987A" w:rsidRDefault="6966F6B3" w14:paraId="130F632A" w14:textId="4F155FC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Verdana" w:hAnsi="Verdana" w:eastAsia="Verdana" w:cs="Verdana"/>
          <w:b w:val="1"/>
          <w:bCs w:val="1"/>
          <w:i w:val="0"/>
          <w:iCs w:val="0"/>
          <w:u w:val="single"/>
        </w:rPr>
      </w:pPr>
      <w:r w:rsidRPr="58F5987A" w:rsidR="0C0F738B">
        <w:rPr>
          <w:rFonts w:ascii="Verdana" w:hAnsi="Verdana" w:eastAsia="Verdana" w:cs="Verdana"/>
          <w:b w:val="1"/>
          <w:bCs w:val="1"/>
          <w:i w:val="0"/>
          <w:iCs w:val="0"/>
          <w:u w:val="single"/>
        </w:rPr>
        <w:t>Secondary Sources</w:t>
      </w:r>
    </w:p>
    <w:p w:rsidR="6966F6B3" w:rsidP="58F5987A" w:rsidRDefault="6966F6B3" w14:paraId="427EEC57" w14:textId="77665E29">
      <w:pPr>
        <w:bidi w:val="0"/>
        <w:spacing w:before="240" w:beforeAutospacing="off" w:after="240" w:afterAutospacing="off" w:line="480" w:lineRule="auto"/>
        <w:ind/>
        <w:jc w:val="left"/>
      </w:pPr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>Denney, Matthew G. T, ‘“To Wage a War”: Crime, Race, and State Making in the Age of FDR</w:t>
      </w:r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>’,</w:t>
      </w:r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 xml:space="preserve"> Studies in American Political Development, 35.1 (2021). </w:t>
      </w:r>
    </w:p>
    <w:p w:rsidR="6966F6B3" w:rsidP="58F5987A" w:rsidRDefault="6966F6B3" w14:paraId="26BD1396" w14:textId="3007E3FE">
      <w:pPr>
        <w:bidi w:val="0"/>
        <w:spacing w:before="240" w:beforeAutospacing="off" w:after="240" w:afterAutospacing="off" w:line="480" w:lineRule="auto"/>
        <w:ind/>
        <w:jc w:val="left"/>
        <w:rPr>
          <w:rFonts w:ascii="Verdana" w:hAnsi="Verdana" w:eastAsia="Verdana" w:cs="Verdana"/>
          <w:noProof w:val="0"/>
          <w:sz w:val="24"/>
          <w:szCs w:val="24"/>
          <w:lang w:val="en-GB"/>
        </w:rPr>
      </w:pPr>
    </w:p>
    <w:p w:rsidR="6966F6B3" w:rsidP="58F5987A" w:rsidRDefault="6966F6B3" w14:paraId="07579EB2" w14:textId="0C3D0D51">
      <w:pPr>
        <w:bidi w:val="0"/>
        <w:spacing w:before="240" w:beforeAutospacing="off" w:after="240" w:afterAutospacing="off" w:line="480" w:lineRule="auto"/>
        <w:ind/>
        <w:jc w:val="left"/>
      </w:pPr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 xml:space="preserve">Gaines, Larry K, Victor E Kappeler, and Zachary A Powell, </w:t>
      </w:r>
      <w:r w:rsidRPr="58F5987A" w:rsidR="569CBFF4">
        <w:rPr>
          <w:rFonts w:ascii="Verdana" w:hAnsi="Verdana" w:eastAsia="Verdana" w:cs="Verdana"/>
          <w:i w:val="1"/>
          <w:iCs w:val="1"/>
          <w:noProof w:val="0"/>
          <w:sz w:val="24"/>
          <w:szCs w:val="24"/>
          <w:lang w:val="en-GB"/>
        </w:rPr>
        <w:t xml:space="preserve">Policing in America. </w:t>
      </w:r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 xml:space="preserve">(Routledge, 2022). </w:t>
      </w:r>
    </w:p>
    <w:p w:rsidR="6966F6B3" w:rsidP="58F5987A" w:rsidRDefault="6966F6B3" w14:paraId="28CABF85" w14:textId="45195BDE">
      <w:pPr>
        <w:bidi w:val="0"/>
        <w:spacing w:before="240" w:beforeAutospacing="off" w:after="240" w:afterAutospacing="off" w:line="480" w:lineRule="auto"/>
        <w:ind/>
        <w:jc w:val="left"/>
        <w:rPr>
          <w:rFonts w:ascii="Verdana" w:hAnsi="Verdana" w:eastAsia="Verdana" w:cs="Verdana"/>
          <w:noProof w:val="0"/>
          <w:sz w:val="24"/>
          <w:szCs w:val="24"/>
          <w:lang w:val="en-GB"/>
        </w:rPr>
      </w:pPr>
    </w:p>
    <w:p w:rsidR="6966F6B3" w:rsidP="58F5987A" w:rsidRDefault="6966F6B3" w14:paraId="3E916510" w14:textId="01C37D3A">
      <w:pPr>
        <w:bidi w:val="0"/>
        <w:spacing w:before="240" w:beforeAutospacing="off" w:after="240" w:afterAutospacing="off" w:line="480" w:lineRule="auto"/>
        <w:ind/>
        <w:jc w:val="left"/>
      </w:pPr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 xml:space="preserve">Garland, David, </w:t>
      </w:r>
      <w:r w:rsidRPr="58F5987A" w:rsidR="569CBFF4">
        <w:rPr>
          <w:rFonts w:ascii="Verdana" w:hAnsi="Verdana" w:eastAsia="Verdana" w:cs="Verdana"/>
          <w:i w:val="1"/>
          <w:iCs w:val="1"/>
          <w:noProof w:val="0"/>
          <w:sz w:val="24"/>
          <w:szCs w:val="24"/>
          <w:lang w:val="en-GB"/>
        </w:rPr>
        <w:t>The Culture of Control: Crime and Social Order in Contemporary Society</w:t>
      </w:r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 xml:space="preserve"> (Oxford University Press, 2002).</w:t>
      </w:r>
    </w:p>
    <w:p w:rsidR="6966F6B3" w:rsidP="58F5987A" w:rsidRDefault="6966F6B3" w14:paraId="2F683185" w14:textId="544366B9">
      <w:pPr>
        <w:bidi w:val="0"/>
        <w:spacing w:before="240" w:beforeAutospacing="off" w:after="240" w:afterAutospacing="off" w:line="480" w:lineRule="auto"/>
        <w:ind/>
        <w:jc w:val="left"/>
        <w:rPr>
          <w:rFonts w:ascii="Verdana" w:hAnsi="Verdana" w:eastAsia="Verdana" w:cs="Verdana"/>
          <w:noProof w:val="0"/>
          <w:sz w:val="24"/>
          <w:szCs w:val="24"/>
          <w:lang w:val="en-GB"/>
        </w:rPr>
      </w:pPr>
    </w:p>
    <w:p w:rsidR="6966F6B3" w:rsidP="58F5987A" w:rsidRDefault="6966F6B3" w14:paraId="0E4984D9" w14:textId="3BC96648">
      <w:pPr>
        <w:bidi w:val="0"/>
        <w:spacing w:before="240" w:beforeAutospacing="off" w:after="240" w:afterAutospacing="off" w:line="480" w:lineRule="auto"/>
        <w:ind/>
        <w:jc w:val="left"/>
      </w:pPr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 xml:space="preserve">Gormsen, Thomas A, 'Lupe's Story: Lupe Gallardo Marshall at the Memorial Day Massacre at Republic Steel, South Chicago, 1937', ResearchGate, May 2019 </w:t>
      </w:r>
      <w:hyperlink r:id="R37308f672e3e4714">
        <w:r w:rsidRPr="58F5987A" w:rsidR="569CBFF4">
          <w:rPr>
            <w:rStyle w:val="Hyperlink"/>
            <w:rFonts w:ascii="Verdana" w:hAnsi="Verdana" w:eastAsia="Verdana" w:cs="Verdana"/>
            <w:noProof w:val="0"/>
            <w:sz w:val="24"/>
            <w:szCs w:val="24"/>
            <w:lang w:val="en-GB"/>
          </w:rPr>
          <w:t>https://www.researchgate.net/publication/333295356_Lupe's_Story_Lupe_Gallardo_Marshall_at_the_Memorial_Day_Massacre_at_Republic_Steel_South_Chicago_1937</w:t>
        </w:r>
      </w:hyperlink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 xml:space="preserve"> [accessed 5 November 2025]. </w:t>
      </w:r>
    </w:p>
    <w:p w:rsidR="6966F6B3" w:rsidP="58F5987A" w:rsidRDefault="6966F6B3" w14:paraId="0AA023D8" w14:textId="3C71EBFF">
      <w:pPr>
        <w:bidi w:val="0"/>
        <w:spacing w:before="240" w:beforeAutospacing="off" w:after="240" w:afterAutospacing="off" w:line="480" w:lineRule="auto"/>
        <w:ind/>
        <w:jc w:val="left"/>
        <w:rPr>
          <w:rFonts w:ascii="Verdana" w:hAnsi="Verdana" w:eastAsia="Verdana" w:cs="Verdana"/>
          <w:noProof w:val="0"/>
          <w:sz w:val="24"/>
          <w:szCs w:val="24"/>
          <w:lang w:val="en-GB"/>
        </w:rPr>
      </w:pPr>
    </w:p>
    <w:p w:rsidR="6966F6B3" w:rsidP="58F5987A" w:rsidRDefault="6966F6B3" w14:paraId="2871430A" w14:textId="647ADB86">
      <w:pPr>
        <w:bidi w:val="0"/>
        <w:spacing w:before="240" w:beforeAutospacing="off" w:after="240" w:afterAutospacing="off" w:line="480" w:lineRule="auto"/>
        <w:ind/>
        <w:jc w:val="left"/>
      </w:pPr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 xml:space="preserve">Rosenberg, Mark L, </w:t>
      </w:r>
      <w:r w:rsidRPr="58F5987A" w:rsidR="569CBFF4">
        <w:rPr>
          <w:rFonts w:ascii="Verdana" w:hAnsi="Verdana" w:eastAsia="Verdana" w:cs="Verdana"/>
          <w:i w:val="1"/>
          <w:iCs w:val="1"/>
          <w:noProof w:val="0"/>
          <w:sz w:val="24"/>
          <w:szCs w:val="24"/>
          <w:lang w:val="en-GB"/>
        </w:rPr>
        <w:t>Violence in America: A Public Health Approach</w:t>
      </w:r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>, ed by Mark L. Rosenberg and Mary Ann Fenley (New York: Oxford University Press, 1991).</w:t>
      </w:r>
    </w:p>
    <w:p w:rsidR="6966F6B3" w:rsidP="58F5987A" w:rsidRDefault="6966F6B3" w14:paraId="05E79F6B" w14:textId="2649BDEE">
      <w:pPr>
        <w:bidi w:val="0"/>
        <w:spacing w:before="240" w:beforeAutospacing="off" w:after="240" w:afterAutospacing="off" w:line="480" w:lineRule="auto"/>
        <w:ind/>
        <w:jc w:val="left"/>
        <w:rPr>
          <w:rFonts w:ascii="Verdana" w:hAnsi="Verdana" w:eastAsia="Verdana" w:cs="Verdana"/>
          <w:noProof w:val="0"/>
          <w:sz w:val="24"/>
          <w:szCs w:val="24"/>
          <w:lang w:val="en-GB"/>
        </w:rPr>
      </w:pPr>
    </w:p>
    <w:p w:rsidR="6966F6B3" w:rsidP="58F5987A" w:rsidRDefault="6966F6B3" w14:paraId="1C6D87C3" w14:textId="115431C2">
      <w:pPr>
        <w:bidi w:val="0"/>
        <w:spacing w:before="240" w:beforeAutospacing="off" w:after="240" w:afterAutospacing="off" w:line="480" w:lineRule="auto"/>
        <w:ind/>
        <w:jc w:val="left"/>
      </w:pPr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 xml:space="preserve">Roosevelt, Franklin D., quoted in 'FDR and the Wagner Act', FDR Presidential Library &amp; Museum (1935) </w:t>
      </w:r>
      <w:hyperlink r:id="Rea3d879ba1bd418f">
        <w:r w:rsidRPr="58F5987A" w:rsidR="569CBFF4">
          <w:rPr>
            <w:rStyle w:val="Hyperlink"/>
            <w:rFonts w:ascii="Verdana" w:hAnsi="Verdana" w:eastAsia="Verdana" w:cs="Verdana"/>
            <w:noProof w:val="0"/>
            <w:sz w:val="24"/>
            <w:szCs w:val="24"/>
            <w:lang w:val="en-GB"/>
          </w:rPr>
          <w:t>https://www.fdrlibrary.org/wagner-act</w:t>
        </w:r>
      </w:hyperlink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 xml:space="preserve"> [accessed 4 November 2025].</w:t>
      </w:r>
    </w:p>
    <w:p w:rsidR="6966F6B3" w:rsidP="58F5987A" w:rsidRDefault="6966F6B3" w14:paraId="5BCEFE31" w14:textId="1D9F49D9">
      <w:pPr>
        <w:bidi w:val="0"/>
        <w:spacing w:before="240" w:beforeAutospacing="off" w:after="240" w:afterAutospacing="off" w:line="480" w:lineRule="auto"/>
        <w:ind/>
        <w:jc w:val="left"/>
        <w:rPr>
          <w:rFonts w:ascii="Verdana" w:hAnsi="Verdana" w:eastAsia="Verdana" w:cs="Verdana"/>
          <w:noProof w:val="0"/>
          <w:sz w:val="24"/>
          <w:szCs w:val="24"/>
          <w:lang w:val="en-GB"/>
        </w:rPr>
      </w:pPr>
    </w:p>
    <w:p w:rsidR="6966F6B3" w:rsidP="58F5987A" w:rsidRDefault="6966F6B3" w14:paraId="157D911D" w14:textId="29014C13">
      <w:pPr>
        <w:bidi w:val="0"/>
        <w:spacing w:before="240" w:beforeAutospacing="off" w:after="240" w:afterAutospacing="off" w:line="480" w:lineRule="auto"/>
        <w:ind/>
        <w:jc w:val="left"/>
      </w:pPr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 xml:space="preserve">Stevenson, Leonard, </w:t>
      </w:r>
      <w:r w:rsidRPr="58F5987A" w:rsidR="569CBFF4">
        <w:rPr>
          <w:rFonts w:ascii="Verdana" w:hAnsi="Verdana" w:eastAsia="Verdana" w:cs="Verdana"/>
          <w:i w:val="1"/>
          <w:iCs w:val="1"/>
          <w:noProof w:val="0"/>
          <w:sz w:val="24"/>
          <w:szCs w:val="24"/>
          <w:lang w:val="en-GB"/>
        </w:rPr>
        <w:t>Policing in America: A Reference Handbook</w:t>
      </w:r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 xml:space="preserve">, 1st </w:t>
      </w:r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>edn</w:t>
      </w:r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 xml:space="preserve"> (ABC-CLIO, 2007). </w:t>
      </w:r>
    </w:p>
    <w:p w:rsidR="6966F6B3" w:rsidP="58F5987A" w:rsidRDefault="6966F6B3" w14:paraId="6D11B565" w14:textId="5FCDD919">
      <w:pPr>
        <w:bidi w:val="0"/>
        <w:spacing w:before="240" w:beforeAutospacing="off" w:after="240" w:afterAutospacing="off" w:line="480" w:lineRule="auto"/>
        <w:ind/>
        <w:jc w:val="left"/>
        <w:rPr>
          <w:rFonts w:ascii="Verdana" w:hAnsi="Verdana" w:eastAsia="Verdana" w:cs="Verdana"/>
          <w:noProof w:val="0"/>
          <w:sz w:val="24"/>
          <w:szCs w:val="24"/>
          <w:lang w:val="en-GB"/>
        </w:rPr>
      </w:pPr>
    </w:p>
    <w:p w:rsidR="6966F6B3" w:rsidP="58F5987A" w:rsidRDefault="6966F6B3" w14:paraId="75A1AC2F" w14:textId="74B7DEB6">
      <w:pPr>
        <w:bidi w:val="0"/>
        <w:spacing w:before="240" w:beforeAutospacing="off" w:after="240" w:afterAutospacing="off" w:line="480" w:lineRule="auto"/>
        <w:ind/>
        <w:jc w:val="left"/>
      </w:pPr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 xml:space="preserve">Weitzer, Ronald John, and Steven A </w:t>
      </w:r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>Tuch</w:t>
      </w:r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 xml:space="preserve">, </w:t>
      </w:r>
      <w:r w:rsidRPr="58F5987A" w:rsidR="569CBFF4">
        <w:rPr>
          <w:rFonts w:ascii="Verdana" w:hAnsi="Verdana" w:eastAsia="Verdana" w:cs="Verdana"/>
          <w:i w:val="1"/>
          <w:iCs w:val="1"/>
          <w:noProof w:val="0"/>
          <w:sz w:val="24"/>
          <w:szCs w:val="24"/>
          <w:lang w:val="en-GB"/>
        </w:rPr>
        <w:t xml:space="preserve">Race and Policing in </w:t>
      </w:r>
      <w:r w:rsidRPr="58F5987A" w:rsidR="569CBFF4">
        <w:rPr>
          <w:rFonts w:ascii="Verdana" w:hAnsi="Verdana" w:eastAsia="Verdana" w:cs="Verdana"/>
          <w:i w:val="1"/>
          <w:iCs w:val="1"/>
          <w:noProof w:val="0"/>
          <w:sz w:val="24"/>
          <w:szCs w:val="24"/>
          <w:lang w:val="en-GB"/>
        </w:rPr>
        <w:t>America :</w:t>
      </w:r>
      <w:r w:rsidRPr="58F5987A" w:rsidR="569CBFF4">
        <w:rPr>
          <w:rFonts w:ascii="Verdana" w:hAnsi="Verdana" w:eastAsia="Verdana" w:cs="Verdana"/>
          <w:i w:val="1"/>
          <w:iCs w:val="1"/>
          <w:noProof w:val="0"/>
          <w:sz w:val="24"/>
          <w:szCs w:val="24"/>
          <w:lang w:val="en-GB"/>
        </w:rPr>
        <w:t xml:space="preserve"> Conflict and Reform</w:t>
      </w:r>
      <w:r w:rsidRPr="58F5987A" w:rsidR="569CBFF4">
        <w:rPr>
          <w:rFonts w:ascii="Verdana" w:hAnsi="Verdana" w:eastAsia="Verdana" w:cs="Verdana"/>
          <w:noProof w:val="0"/>
          <w:sz w:val="24"/>
          <w:szCs w:val="24"/>
          <w:lang w:val="en-GB"/>
        </w:rPr>
        <w:t xml:space="preserve"> (Cambridge University Press, 2006)</w:t>
      </w:r>
      <w:r w:rsidRPr="58F5987A" w:rsidR="348D5F22">
        <w:rPr>
          <w:rFonts w:ascii="Verdana" w:hAnsi="Verdana" w:eastAsia="Verdana" w:cs="Verdana"/>
          <w:noProof w:val="0"/>
          <w:sz w:val="24"/>
          <w:szCs w:val="24"/>
          <w:lang w:val="en-GB"/>
        </w:rPr>
        <w:t>.</w:t>
      </w:r>
    </w:p>
    <w:p w:rsidR="58F5987A" w:rsidP="58F5987A" w:rsidRDefault="58F5987A" w14:paraId="389FEF65" w14:textId="74EF2B76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Verdana" w:hAnsi="Verdana" w:eastAsia="Verdana" w:cs="Verdana"/>
          <w:b w:val="0"/>
          <w:bCs w:val="0"/>
          <w:i w:val="0"/>
          <w:iCs w:val="0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5fcf3994f914142"/>
      <w:footerReference w:type="default" r:id="R38c813a4fcb8406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F7CBDD" w:rsidTr="58F5987A" w14:paraId="4103F034">
      <w:trPr>
        <w:trHeight w:val="300"/>
      </w:trPr>
      <w:tc>
        <w:tcPr>
          <w:tcW w:w="3120" w:type="dxa"/>
          <w:tcMar/>
        </w:tcPr>
        <w:p w:rsidR="21F7CBDD" w:rsidP="21F7CBDD" w:rsidRDefault="21F7CBDD" w14:paraId="3CD636F5" w14:textId="4F881565" w14:noSpellErr="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F7CBDD" w:rsidP="21F7CBDD" w:rsidRDefault="21F7CBDD" w14:paraId="5E463194" w14:textId="7CAE3B28" w14:noSpellErr="1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21F7CBDD" w:rsidP="21F7CBDD" w:rsidRDefault="21F7CBDD" w14:paraId="719C4714" w14:textId="0B296E6C" w14:noSpellErr="1">
          <w:pPr>
            <w:pStyle w:val="Header"/>
            <w:bidi w:val="0"/>
            <w:ind w:right="-115"/>
            <w:jc w:val="right"/>
          </w:pPr>
        </w:p>
      </w:tc>
    </w:tr>
  </w:tbl>
  <w:p w:rsidR="21F7CBDD" w:rsidP="21F7CBDD" w:rsidRDefault="21F7CBDD" w14:paraId="65A76789" w14:textId="2EE0F7C3" w14:noSpellErr="1">
    <w:pPr>
      <w:pStyle w:val="Footer"/>
      <w:bidi w:val="0"/>
    </w:pPr>
  </w:p>
</w:ftr>
</file>

<file path=word/footnotes.xml><?xml version="1.0" encoding="utf-8"?>
<w:footnotes xmlns:w14="http://schemas.microsoft.com/office/word/2010/wordml" xmlns:r="http://schemas.openxmlformats.org/officeDocument/2006/relationships" xmlns:w="http://schemas.openxmlformats.org/wordprocessingml/2006/main">
  <w:footnote w:type="separator" w:id="-1">
    <w:p w:rsidR="21F7CBDD" w:rsidRDefault="21F7CBDD" w14:paraId="62418C92" w14:textId="4BAC419C">
      <w:pPr>
        <w:spacing w:after="0" w:line="240" w:lineRule="auto"/>
      </w:pPr>
      <w:r>
        <w:separator/>
      </w:r>
    </w:p>
  </w:footnote>
  <w:footnote w:type="continuationSeparator" w:id="0">
    <w:p w:rsidR="21F7CBDD" w:rsidRDefault="21F7CBDD" w14:paraId="552514BA" w14:textId="1DB76123">
      <w:pPr>
        <w:spacing w:after="0" w:line="240" w:lineRule="auto"/>
      </w:pPr>
      <w:r>
        <w:continuationSeparator/>
      </w:r>
    </w:p>
  </w:footnote>
  <w:footnote w:id="16676">
    <w:p w:rsidR="21F7CBDD" w:rsidP="21F7CBDD" w:rsidRDefault="21F7CBDD" w14:paraId="28799BE7" w14:textId="79B2E51C" w14:noSpellErr="1">
      <w:pPr>
        <w:pStyle w:val="FootnoteText"/>
        <w:bidi w:val="0"/>
        <w:ind w:firstLine="0"/>
      </w:pPr>
      <w:r w:rsidRPr="21F7CBDD">
        <w:rPr>
          <w:rStyle w:val="FootnoteReference"/>
          <w:rFonts w:ascii="Verdana" w:hAnsi="Verdana" w:eastAsia="Verdana" w:cs="Verdana"/>
          <w:sz w:val="20"/>
          <w:szCs w:val="20"/>
        </w:rPr>
        <w:footnoteRef/>
      </w:r>
      <w:r w:rsidRPr="21F7CBDD" w:rsidR="58F5987A">
        <w:rPr>
          <w:rFonts w:ascii="Verdana" w:hAnsi="Verdana" w:eastAsia="Verdana" w:cs="Verdana"/>
          <w:sz w:val="20"/>
          <w:szCs w:val="20"/>
        </w:rPr>
        <w:t xml:space="preserve"> David Garland, </w:t>
      </w:r>
      <w:r w:rsidRPr="58F5987A" w:rsidR="58F5987A">
        <w:rPr>
          <w:rFonts w:ascii="Verdana" w:hAnsi="Verdana" w:eastAsia="Verdana" w:cs="Verdana"/>
          <w:i w:val="1"/>
          <w:iCs w:val="1"/>
          <w:sz w:val="20"/>
          <w:szCs w:val="20"/>
        </w:rPr>
        <w:t xml:space="preserve">The Culture of Control: Crime and Social Order in Contemporary Society</w:t>
      </w:r>
      <w:r w:rsidRPr="21F7CBDD" w:rsidR="58F5987A">
        <w:rPr>
          <w:rFonts w:ascii="Verdana" w:hAnsi="Verdana" w:eastAsia="Verdana" w:cs="Verdana"/>
          <w:sz w:val="20"/>
          <w:szCs w:val="20"/>
        </w:rPr>
        <w:t xml:space="preserve"> (Oxford: Oxford University Press, 2002), p. 134.</w:t>
      </w:r>
    </w:p>
  </w:footnote>
  <w:footnote w:id="5268">
    <w:p w:rsidR="21F7CBDD" w:rsidP="21F7CBDD" w:rsidRDefault="21F7CBDD" w14:paraId="19B5A234" w14:textId="192D6DE0" w14:noSpellErr="1">
      <w:pPr>
        <w:pStyle w:val="FootnoteText"/>
        <w:bidi w:val="0"/>
        <w:spacing w:before="240" w:beforeAutospacing="off" w:after="240" w:afterAutospacing="off"/>
        <w:ind w:firstLine="0"/>
      </w:pPr>
      <w:r w:rsidRPr="21F7CBDD">
        <w:rPr>
          <w:rStyle w:val="FootnoteReference"/>
          <w:rFonts w:ascii="Verdana" w:hAnsi="Verdana" w:eastAsia="Verdana" w:cs="Verdana"/>
          <w:sz w:val="20"/>
          <w:szCs w:val="20"/>
        </w:rPr>
        <w:footnoteRef/>
      </w:r>
      <w:r w:rsidRPr="21F7CBDD" w:rsidR="58F5987A">
        <w:rPr>
          <w:rFonts w:ascii="Verdana" w:hAnsi="Verdana" w:eastAsia="Verdana" w:cs="Verdana"/>
          <w:sz w:val="20"/>
          <w:szCs w:val="20"/>
        </w:rPr>
        <w:t xml:space="preserve"> </w:t>
      </w:r>
      <w:r w:rsidRPr="21F7CBDD" w:rsidR="58F5987A">
        <w:rPr>
          <w:rFonts w:ascii="Verdana" w:hAnsi="Verdana" w:eastAsia="Verdana" w:cs="Verdana"/>
          <w:noProof w:val="0"/>
          <w:sz w:val="20"/>
          <w:szCs w:val="20"/>
          <w:lang w:val="en-US"/>
        </w:rPr>
        <w:t xml:space="preserve">Thomas A. Gormsen, 'Lupe's Story: Lupe Gallardo Marshall at the Memorial Day Massacre at Republic Steel, South Chicago, 1937', ResearchGate, May 2019 </w:t>
      </w:r>
      <w:hyperlink r:id="R5044d90a36204296">
        <w:r w:rsidRPr="21F7CBDD" w:rsidR="58F5987A">
          <w:rPr>
            <w:rStyle w:val="Hyperlink"/>
            <w:rFonts w:ascii="Verdana" w:hAnsi="Verdana" w:eastAsia="Verdana" w:cs="Verdana"/>
            <w:noProof w:val="0"/>
            <w:sz w:val="20"/>
            <w:szCs w:val="20"/>
            <w:lang w:val="en-US"/>
          </w:rPr>
          <w:t>https://www.researchgate.net/publication/333295356_Lupe's_Story_Lupe_Gallardo_Marshall_at_the_Memorial_Day_Massacre_at_Republic_Steel_South_Chicago_1937</w:t>
        </w:r>
      </w:hyperlink>
      <w:r w:rsidRPr="21F7CBDD" w:rsidR="58F5987A">
        <w:rPr>
          <w:rFonts w:ascii="Verdana" w:hAnsi="Verdana" w:eastAsia="Verdana" w:cs="Verdana"/>
          <w:noProof w:val="0"/>
          <w:sz w:val="20"/>
          <w:szCs w:val="20"/>
          <w:lang w:val="en-US"/>
        </w:rPr>
        <w:t xml:space="preserve"> [accessed 5 November 2025].</w:t>
      </w:r>
    </w:p>
  </w:footnote>
  <w:footnote w:id="29060">
    <w:p w:rsidR="21F7CBDD" w:rsidP="58F5987A" w:rsidRDefault="21F7CBDD" w14:paraId="58FF5FC7" w14:textId="02101F25" w14:noSpellErr="1">
      <w:pPr>
        <w:pStyle w:val="FootnoteText"/>
        <w:bidi w:val="0"/>
        <w:ind w:firstLine="0"/>
        <w:rPr>
          <w:i w:val="0"/>
          <w:iCs w:val="0"/>
        </w:rPr>
      </w:pPr>
      <w:r w:rsidRPr="21F7CBDD">
        <w:rPr>
          <w:rStyle w:val="FootnoteReference"/>
          <w:rFonts w:ascii="Verdana" w:hAnsi="Verdana" w:eastAsia="Verdana" w:cs="Verdana"/>
          <w:sz w:val="20"/>
          <w:szCs w:val="20"/>
        </w:rPr>
        <w:footnoteRef/>
      </w:r>
      <w:r w:rsidRPr="21F7CBDD" w:rsidR="58F5987A">
        <w:rPr>
          <w:rFonts w:ascii="Verdana" w:hAnsi="Verdana" w:eastAsia="Verdana" w:cs="Verdana"/>
          <w:sz w:val="20"/>
          <w:szCs w:val="20"/>
        </w:rPr>
        <w:t xml:space="preserve"> Garland, </w:t>
      </w:r>
      <w:r w:rsidRPr="58F5987A" w:rsidR="58F5987A">
        <w:rPr>
          <w:rFonts w:ascii="Verdana" w:hAnsi="Verdana" w:eastAsia="Verdana" w:cs="Verdana"/>
          <w:i w:val="1"/>
          <w:iCs w:val="1"/>
          <w:sz w:val="20"/>
          <w:szCs w:val="20"/>
        </w:rPr>
        <w:t>The Culture of Control,</w:t>
      </w:r>
      <w:r w:rsidRPr="58F5987A" w:rsidR="58F5987A">
        <w:rPr>
          <w:rFonts w:ascii="Verdana" w:hAnsi="Verdana" w:eastAsia="Verdana" w:cs="Verdana"/>
          <w:i w:val="0"/>
          <w:iCs w:val="0"/>
          <w:sz w:val="20"/>
          <w:szCs w:val="20"/>
        </w:rPr>
        <w:t xml:space="preserve"> p.114.</w:t>
      </w:r>
    </w:p>
  </w:footnote>
  <w:footnote w:id="8687">
    <w:p w:rsidR="21F7CBDD" w:rsidP="21F7CBDD" w:rsidRDefault="21F7CBDD" w14:paraId="75C24195" w14:textId="06F2EC1F" w14:noSpellErr="1">
      <w:pPr>
        <w:pStyle w:val="FootnoteText"/>
        <w:bidi w:val="0"/>
        <w:ind w:firstLine="0"/>
      </w:pPr>
      <w:r w:rsidRPr="21F7CBDD">
        <w:rPr>
          <w:rStyle w:val="FootnoteReference"/>
          <w:rFonts w:ascii="Verdana" w:hAnsi="Verdana" w:eastAsia="Verdana" w:cs="Verdana"/>
          <w:sz w:val="20"/>
          <w:szCs w:val="20"/>
        </w:rPr>
        <w:footnoteRef/>
      </w:r>
      <w:r w:rsidRPr="21F7CBDD" w:rsidR="58F5987A">
        <w:rPr>
          <w:rFonts w:ascii="Verdana" w:hAnsi="Verdana" w:eastAsia="Verdana" w:cs="Verdana"/>
          <w:sz w:val="20"/>
          <w:szCs w:val="20"/>
        </w:rPr>
        <w:t xml:space="preserve"> Mark L. Rosenberg and Mary Ann Fenley, 'Introduction', in Violence in America: A Public Health Approach, ed. by Mark L. Rosenberg and Mary Ann Fenley (New York: Oxford University Press, 1991), p. 11.</w:t>
      </w:r>
    </w:p>
  </w:footnote>
  <w:footnote w:id="16500">
    <w:p w:rsidR="58F5987A" w:rsidP="58F5987A" w:rsidRDefault="58F5987A" w14:paraId="2BBAADED" w14:textId="3CE15F30">
      <w:pPr>
        <w:pStyle w:val="FootnoteText"/>
        <w:bidi w:val="0"/>
        <w:ind w:firstLine="0"/>
      </w:pPr>
      <w:r w:rsidRPr="58F5987A">
        <w:rPr>
          <w:rStyle w:val="FootnoteReference"/>
          <w:rFonts w:ascii="Verdana" w:hAnsi="Verdana" w:eastAsia="Verdana" w:cs="Verdana"/>
          <w:sz w:val="20"/>
          <w:szCs w:val="20"/>
        </w:rPr>
        <w:footnoteRef/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Franklin D. Roosevelt, quoted in 'FDR and the Wagner Act', FDR Presidential Library &amp; Museum https://www.fdrlibrary.org/wagner-act [accessed 5 November 2025].</w:t>
      </w:r>
    </w:p>
  </w:footnote>
  <w:footnote w:id="10648">
    <w:p w:rsidR="58F5987A" w:rsidP="58F5987A" w:rsidRDefault="58F5987A" w14:paraId="581EEF6F" w14:textId="12E78CA8">
      <w:pPr>
        <w:pStyle w:val="FootnoteText"/>
        <w:bidi w:val="0"/>
        <w:ind w:firstLine="0"/>
      </w:pPr>
      <w:r w:rsidRPr="58F5987A">
        <w:rPr>
          <w:rStyle w:val="FootnoteReference"/>
          <w:rFonts w:ascii="Verdana" w:hAnsi="Verdana" w:eastAsia="Verdana" w:cs="Verdana"/>
          <w:sz w:val="20"/>
          <w:szCs w:val="20"/>
        </w:rPr>
        <w:footnoteRef/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Larry Gaines, Victor Kappeler, and Zachary Powell, Policing in America (New York: Routledge, 2021), pp. 68–75.</w:t>
      </w:r>
    </w:p>
  </w:footnote>
  <w:footnote w:id="3031">
    <w:p w:rsidR="58F5987A" w:rsidP="58F5987A" w:rsidRDefault="58F5987A" w14:paraId="2DC2C104" w14:textId="1534FA21">
      <w:pPr>
        <w:pStyle w:val="FootnoteText"/>
        <w:bidi w:val="0"/>
        <w:ind w:firstLine="0"/>
        <w:rPr>
          <w:i w:val="0"/>
          <w:iCs w:val="0"/>
        </w:rPr>
      </w:pPr>
      <w:r w:rsidRPr="58F5987A">
        <w:rPr>
          <w:rStyle w:val="FootnoteReference"/>
          <w:rFonts w:ascii="Verdana" w:hAnsi="Verdana" w:eastAsia="Verdana" w:cs="Verdana"/>
          <w:sz w:val="20"/>
          <w:szCs w:val="20"/>
        </w:rPr>
        <w:footnoteRef/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Leonard Stevenson, </w:t>
      </w:r>
      <w:r w:rsidRPr="58F5987A" w:rsidR="58F5987A">
        <w:rPr>
          <w:rFonts w:ascii="Verdana" w:hAnsi="Verdana" w:eastAsia="Verdana" w:cs="Verdana"/>
          <w:i w:val="1"/>
          <w:iCs w:val="1"/>
          <w:sz w:val="20"/>
          <w:szCs w:val="20"/>
        </w:rPr>
        <w:t xml:space="preserve">Policing in America: A Reference Handbook, </w:t>
      </w:r>
      <w:r w:rsidRPr="58F5987A" w:rsidR="58F5987A">
        <w:rPr>
          <w:rFonts w:ascii="Verdana" w:hAnsi="Verdana" w:eastAsia="Verdana" w:cs="Verdana"/>
          <w:i w:val="0"/>
          <w:iCs w:val="0"/>
          <w:sz w:val="20"/>
          <w:szCs w:val="20"/>
        </w:rPr>
        <w:t>1</w:t>
      </w:r>
      <w:r w:rsidRPr="58F5987A" w:rsidR="58F5987A">
        <w:rPr>
          <w:rFonts w:ascii="Verdana" w:hAnsi="Verdana" w:eastAsia="Verdana" w:cs="Verdana"/>
          <w:i w:val="0"/>
          <w:iCs w:val="0"/>
          <w:sz w:val="20"/>
          <w:szCs w:val="20"/>
          <w:vertAlign w:val="superscript"/>
        </w:rPr>
        <w:t>st</w:t>
      </w:r>
      <w:r w:rsidRPr="58F5987A" w:rsidR="58F5987A">
        <w:rPr>
          <w:rFonts w:ascii="Verdana" w:hAnsi="Verdana" w:eastAsia="Verdana" w:cs="Verdana"/>
          <w:i w:val="0"/>
          <w:iCs w:val="0"/>
          <w:sz w:val="20"/>
          <w:szCs w:val="20"/>
        </w:rPr>
        <w:t xml:space="preserve"> </w:t>
      </w:r>
      <w:r w:rsidRPr="58F5987A" w:rsidR="58F5987A">
        <w:rPr>
          <w:rFonts w:ascii="Verdana" w:hAnsi="Verdana" w:eastAsia="Verdana" w:cs="Verdana"/>
          <w:i w:val="0"/>
          <w:iCs w:val="0"/>
          <w:sz w:val="20"/>
          <w:szCs w:val="20"/>
        </w:rPr>
        <w:t>edn</w:t>
      </w:r>
      <w:r w:rsidRPr="58F5987A" w:rsidR="58F5987A">
        <w:rPr>
          <w:rFonts w:ascii="Verdana" w:hAnsi="Verdana" w:eastAsia="Verdana" w:cs="Verdana"/>
          <w:i w:val="0"/>
          <w:iCs w:val="0"/>
          <w:sz w:val="20"/>
          <w:szCs w:val="20"/>
        </w:rPr>
        <w:t xml:space="preserve"> (ABC-CLIO, 2007), p.56.</w:t>
      </w:r>
    </w:p>
  </w:footnote>
  <w:footnote w:id="7236">
    <w:p w:rsidR="58F5987A" w:rsidP="58F5987A" w:rsidRDefault="58F5987A" w14:paraId="5167B632" w14:textId="5A8727FC">
      <w:pPr>
        <w:pStyle w:val="FootnoteText"/>
        <w:bidi w:val="0"/>
        <w:ind w:firstLine="0"/>
        <w:rPr>
          <w:i w:val="0"/>
          <w:iCs w:val="0"/>
        </w:rPr>
      </w:pPr>
      <w:r w:rsidRPr="58F5987A">
        <w:rPr>
          <w:rStyle w:val="FootnoteReference"/>
          <w:rFonts w:ascii="Verdana" w:hAnsi="Verdana" w:eastAsia="Verdana" w:cs="Verdana"/>
          <w:sz w:val="20"/>
          <w:szCs w:val="20"/>
        </w:rPr>
        <w:footnoteRef/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Ronald Weitzer and Steven </w:t>
      </w:r>
      <w:r w:rsidRPr="58F5987A" w:rsidR="58F5987A">
        <w:rPr>
          <w:rFonts w:ascii="Verdana" w:hAnsi="Verdana" w:eastAsia="Verdana" w:cs="Verdana"/>
          <w:sz w:val="20"/>
          <w:szCs w:val="20"/>
        </w:rPr>
        <w:t>Tuch</w:t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, </w:t>
      </w:r>
      <w:r w:rsidRPr="58F5987A" w:rsidR="58F5987A">
        <w:rPr>
          <w:rFonts w:ascii="Verdana" w:hAnsi="Verdana" w:eastAsia="Verdana" w:cs="Verdana"/>
          <w:i w:val="1"/>
          <w:iCs w:val="1"/>
          <w:sz w:val="20"/>
          <w:szCs w:val="20"/>
        </w:rPr>
        <w:t>Race and Policing in America: Conflict and reform</w:t>
      </w:r>
      <w:r w:rsidRPr="58F5987A" w:rsidR="58F5987A">
        <w:rPr>
          <w:rFonts w:ascii="Verdana" w:hAnsi="Verdana" w:eastAsia="Verdana" w:cs="Verdana"/>
          <w:i w:val="0"/>
          <w:iCs w:val="0"/>
          <w:sz w:val="20"/>
          <w:szCs w:val="20"/>
        </w:rPr>
        <w:t xml:space="preserve"> (Cambridge University Press, 2006), p.4.</w:t>
      </w:r>
    </w:p>
  </w:footnote>
  <w:footnote w:id="19259">
    <w:p w:rsidR="58F5987A" w:rsidP="58F5987A" w:rsidRDefault="58F5987A" w14:paraId="70EEFAA5" w14:textId="1FCF5E85">
      <w:pPr>
        <w:pStyle w:val="FootnoteText"/>
        <w:bidi w:val="0"/>
        <w:ind w:firstLine="0"/>
        <w:rPr>
          <w:i w:val="0"/>
          <w:iCs w:val="0"/>
        </w:rPr>
      </w:pPr>
      <w:r w:rsidRPr="58F5987A">
        <w:rPr>
          <w:rStyle w:val="FootnoteReference"/>
          <w:rFonts w:ascii="Verdana" w:hAnsi="Verdana" w:eastAsia="Verdana" w:cs="Verdana"/>
          <w:sz w:val="20"/>
          <w:szCs w:val="20"/>
        </w:rPr>
        <w:footnoteRef/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Weitzer, </w:t>
      </w:r>
      <w:r w:rsidRPr="58F5987A" w:rsidR="58F5987A">
        <w:rPr>
          <w:rFonts w:ascii="Verdana" w:hAnsi="Verdana" w:eastAsia="Verdana" w:cs="Verdana"/>
          <w:i w:val="1"/>
          <w:iCs w:val="1"/>
          <w:sz w:val="20"/>
          <w:szCs w:val="20"/>
        </w:rPr>
        <w:t>Race and Policing,</w:t>
      </w:r>
      <w:r w:rsidRPr="58F5987A" w:rsidR="58F5987A">
        <w:rPr>
          <w:rFonts w:ascii="Verdana" w:hAnsi="Verdana" w:eastAsia="Verdana" w:cs="Verdana"/>
          <w:i w:val="0"/>
          <w:iCs w:val="0"/>
          <w:sz w:val="20"/>
          <w:szCs w:val="20"/>
        </w:rPr>
        <w:t xml:space="preserve"> p.46.</w:t>
      </w:r>
    </w:p>
  </w:footnote>
  <w:footnote w:id="12062">
    <w:p w:rsidR="58F5987A" w:rsidP="58F5987A" w:rsidRDefault="58F5987A" w14:paraId="6378A9A3" w14:textId="76F62459">
      <w:pPr>
        <w:pStyle w:val="FootnoteText"/>
        <w:bidi w:val="0"/>
        <w:ind w:firstLine="0"/>
        <w:rPr>
          <w:i w:val="0"/>
          <w:iCs w:val="0"/>
        </w:rPr>
      </w:pPr>
      <w:r w:rsidRPr="58F5987A">
        <w:rPr>
          <w:rStyle w:val="FootnoteReference"/>
          <w:rFonts w:ascii="Verdana" w:hAnsi="Verdana" w:eastAsia="Verdana" w:cs="Verdana"/>
          <w:sz w:val="20"/>
          <w:szCs w:val="20"/>
        </w:rPr>
        <w:footnoteRef/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Stevenson, </w:t>
      </w:r>
      <w:r w:rsidRPr="58F5987A" w:rsidR="58F5987A">
        <w:rPr>
          <w:rFonts w:ascii="Verdana" w:hAnsi="Verdana" w:eastAsia="Verdana" w:cs="Verdana"/>
          <w:i w:val="1"/>
          <w:iCs w:val="1"/>
          <w:sz w:val="20"/>
          <w:szCs w:val="20"/>
        </w:rPr>
        <w:t>Policing in America</w:t>
      </w:r>
      <w:r w:rsidRPr="58F5987A" w:rsidR="58F5987A">
        <w:rPr>
          <w:rFonts w:ascii="Verdana" w:hAnsi="Verdana" w:eastAsia="Verdana" w:cs="Verdana"/>
          <w:i w:val="0"/>
          <w:iCs w:val="0"/>
          <w:sz w:val="20"/>
          <w:szCs w:val="20"/>
        </w:rPr>
        <w:t>, p.49.</w:t>
      </w:r>
    </w:p>
  </w:footnote>
  <w:footnote w:id="12671">
    <w:p w:rsidR="58F5987A" w:rsidP="58F5987A" w:rsidRDefault="58F5987A" w14:paraId="0E34125C" w14:textId="5715CB07">
      <w:pPr>
        <w:pStyle w:val="FootnoteText"/>
        <w:bidi w:val="0"/>
        <w:ind w:firstLine="0"/>
      </w:pPr>
      <w:r w:rsidRPr="58F5987A">
        <w:rPr>
          <w:rStyle w:val="FootnoteReference"/>
          <w:rFonts w:ascii="Verdana" w:hAnsi="Verdana" w:eastAsia="Verdana" w:cs="Verdana"/>
          <w:sz w:val="20"/>
          <w:szCs w:val="20"/>
        </w:rPr>
        <w:footnoteRef/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Roosevelt, 1935.</w:t>
      </w:r>
    </w:p>
  </w:footnote>
  <w:footnote w:id="31104">
    <w:p w:rsidR="58F5987A" w:rsidP="58F5987A" w:rsidRDefault="58F5987A" w14:paraId="5A710D20" w14:textId="41A6B579">
      <w:pPr>
        <w:pStyle w:val="FootnoteText"/>
        <w:bidi w:val="0"/>
        <w:ind w:firstLine="0"/>
      </w:pPr>
      <w:r w:rsidRPr="58F5987A">
        <w:rPr>
          <w:rStyle w:val="FootnoteReference"/>
          <w:rFonts w:ascii="Verdana" w:hAnsi="Verdana" w:eastAsia="Verdana" w:cs="Verdana"/>
          <w:sz w:val="20"/>
          <w:szCs w:val="20"/>
        </w:rPr>
        <w:footnoteRef/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Roosevelt, 1935.</w:t>
      </w:r>
    </w:p>
  </w:footnote>
  <w:footnote w:id="13812">
    <w:p w:rsidR="58F5987A" w:rsidP="58F5987A" w:rsidRDefault="58F5987A" w14:paraId="35B16ED0" w14:textId="2CD3E9B9">
      <w:pPr>
        <w:pStyle w:val="FootnoteText"/>
        <w:bidi w:val="0"/>
        <w:ind w:firstLine="0"/>
        <w:rPr>
          <w:i w:val="0"/>
          <w:iCs w:val="0"/>
        </w:rPr>
      </w:pPr>
      <w:r w:rsidRPr="58F5987A">
        <w:rPr>
          <w:rStyle w:val="FootnoteReference"/>
          <w:rFonts w:ascii="Verdana" w:hAnsi="Verdana" w:eastAsia="Verdana" w:cs="Verdana"/>
          <w:sz w:val="20"/>
          <w:szCs w:val="20"/>
        </w:rPr>
        <w:footnoteRef/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Garland, </w:t>
      </w:r>
      <w:r w:rsidRPr="58F5987A" w:rsidR="58F5987A">
        <w:rPr>
          <w:rFonts w:ascii="Verdana" w:hAnsi="Verdana" w:eastAsia="Verdana" w:cs="Verdana"/>
          <w:i w:val="1"/>
          <w:iCs w:val="1"/>
          <w:sz w:val="20"/>
          <w:szCs w:val="20"/>
        </w:rPr>
        <w:t xml:space="preserve">Culture of Control, </w:t>
      </w:r>
      <w:r w:rsidRPr="58F5987A" w:rsidR="58F5987A">
        <w:rPr>
          <w:rFonts w:ascii="Verdana" w:hAnsi="Verdana" w:eastAsia="Verdana" w:cs="Verdana"/>
          <w:i w:val="0"/>
          <w:iCs w:val="0"/>
          <w:sz w:val="20"/>
          <w:szCs w:val="20"/>
        </w:rPr>
        <w:t>p.108.</w:t>
      </w:r>
    </w:p>
  </w:footnote>
  <w:footnote w:id="14209">
    <w:p w:rsidR="58F5987A" w:rsidP="58F5987A" w:rsidRDefault="58F5987A" w14:paraId="63A53FB9" w14:textId="077CA113">
      <w:pPr>
        <w:pStyle w:val="FootnoteText"/>
        <w:bidi w:val="0"/>
        <w:spacing w:before="240" w:beforeAutospacing="off" w:after="240" w:afterAutospacing="off"/>
        <w:ind w:firstLine="0"/>
      </w:pPr>
      <w:r w:rsidRPr="58F5987A">
        <w:rPr>
          <w:rStyle w:val="FootnoteReference"/>
          <w:rFonts w:ascii="Verdana" w:hAnsi="Verdana" w:eastAsia="Verdana" w:cs="Verdana"/>
          <w:sz w:val="20"/>
          <w:szCs w:val="20"/>
        </w:rPr>
        <w:footnoteRef/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Mathew Denney, ‘“To Wage a War”: Crime, Race, and State Making in the Age</w:t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o</w:t>
      </w:r>
      <w:r w:rsidRPr="58F5987A" w:rsidR="58F5987A">
        <w:rPr>
          <w:rFonts w:ascii="Verdana" w:hAnsi="Verdana" w:eastAsia="Verdana" w:cs="Verdana"/>
          <w:sz w:val="20"/>
          <w:szCs w:val="20"/>
        </w:rPr>
        <w:t>f FDR</w:t>
      </w:r>
      <w:r w:rsidRPr="58F5987A" w:rsidR="58F5987A">
        <w:rPr>
          <w:rFonts w:ascii="Verdana" w:hAnsi="Verdana" w:eastAsia="Verdana" w:cs="Verdana"/>
          <w:sz w:val="20"/>
          <w:szCs w:val="20"/>
        </w:rPr>
        <w:t>’,</w:t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Studies in American Political Development, 35.1 (2021), p.17.</w:t>
      </w:r>
    </w:p>
  </w:footnote>
  <w:footnote w:id="2923">
    <w:p w:rsidR="58F5987A" w:rsidP="58F5987A" w:rsidRDefault="58F5987A" w14:paraId="26DACAD8" w14:textId="675D1D16">
      <w:pPr>
        <w:pStyle w:val="FootnoteText"/>
        <w:bidi w:val="0"/>
        <w:ind w:firstLine="0"/>
      </w:pPr>
      <w:r w:rsidRPr="58F5987A">
        <w:rPr>
          <w:rStyle w:val="FootnoteReference"/>
          <w:rFonts w:ascii="Verdana" w:hAnsi="Verdana" w:eastAsia="Verdana" w:cs="Verdana"/>
          <w:sz w:val="20"/>
          <w:szCs w:val="20"/>
        </w:rPr>
        <w:footnoteRef/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Denney</w:t>
      </w:r>
      <w:r w:rsidRPr="58F5987A" w:rsidR="58F5987A">
        <w:rPr>
          <w:rFonts w:ascii="Verdana" w:hAnsi="Verdana" w:eastAsia="Verdana" w:cs="Verdana"/>
          <w:sz w:val="20"/>
          <w:szCs w:val="20"/>
        </w:rPr>
        <w:t>, ”To</w:t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Wage a War</w:t>
      </w:r>
      <w:r w:rsidRPr="58F5987A" w:rsidR="58F5987A">
        <w:rPr>
          <w:rFonts w:ascii="Verdana" w:hAnsi="Verdana" w:eastAsia="Verdana" w:cs="Verdana"/>
          <w:sz w:val="20"/>
          <w:szCs w:val="20"/>
        </w:rPr>
        <w:t>”,</w:t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p.16. </w:t>
      </w:r>
    </w:p>
  </w:footnote>
  <w:footnote w:id="28969">
    <w:p w:rsidR="58F5987A" w:rsidP="58F5987A" w:rsidRDefault="58F5987A" w14:paraId="45B67F1B" w14:textId="48C78D35">
      <w:pPr>
        <w:pStyle w:val="FootnoteText"/>
        <w:bidi w:val="0"/>
        <w:ind w:firstLine="0"/>
        <w:rPr>
          <w:i w:val="0"/>
          <w:iCs w:val="0"/>
        </w:rPr>
      </w:pPr>
      <w:r w:rsidRPr="58F5987A">
        <w:rPr>
          <w:rStyle w:val="FootnoteReference"/>
          <w:rFonts w:ascii="Verdana" w:hAnsi="Verdana" w:eastAsia="Verdana" w:cs="Verdana"/>
          <w:sz w:val="20"/>
          <w:szCs w:val="20"/>
        </w:rPr>
        <w:footnoteRef/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Weitzer and </w:t>
      </w:r>
      <w:r w:rsidRPr="58F5987A" w:rsidR="58F5987A">
        <w:rPr>
          <w:rFonts w:ascii="Verdana" w:hAnsi="Verdana" w:eastAsia="Verdana" w:cs="Verdana"/>
          <w:sz w:val="20"/>
          <w:szCs w:val="20"/>
        </w:rPr>
        <w:t>Tuch</w:t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, </w:t>
      </w:r>
      <w:r w:rsidRPr="58F5987A" w:rsidR="58F5987A">
        <w:rPr>
          <w:rFonts w:ascii="Verdana" w:hAnsi="Verdana" w:eastAsia="Verdana" w:cs="Verdana"/>
          <w:i w:val="1"/>
          <w:iCs w:val="1"/>
          <w:sz w:val="20"/>
          <w:szCs w:val="20"/>
        </w:rPr>
        <w:t>Race and Policing,</w:t>
      </w:r>
      <w:r w:rsidRPr="58F5987A" w:rsidR="58F5987A">
        <w:rPr>
          <w:rFonts w:ascii="Verdana" w:hAnsi="Verdana" w:eastAsia="Verdana" w:cs="Verdana"/>
          <w:i w:val="0"/>
          <w:iCs w:val="0"/>
          <w:sz w:val="20"/>
          <w:szCs w:val="20"/>
        </w:rPr>
        <w:t xml:space="preserve"> p.4.</w:t>
      </w:r>
    </w:p>
  </w:footnote>
  <w:footnote w:id="4397">
    <w:p w:rsidR="58F5987A" w:rsidP="58F5987A" w:rsidRDefault="58F5987A" w14:paraId="0DB06438" w14:textId="08FC71DF">
      <w:pPr>
        <w:pStyle w:val="FootnoteText"/>
        <w:bidi w:val="0"/>
        <w:ind w:firstLine="0"/>
        <w:rPr>
          <w:i w:val="0"/>
          <w:iCs w:val="0"/>
        </w:rPr>
      </w:pPr>
      <w:r w:rsidRPr="58F5987A">
        <w:rPr>
          <w:rStyle w:val="FootnoteReference"/>
          <w:rFonts w:ascii="Verdana" w:hAnsi="Verdana" w:eastAsia="Verdana" w:cs="Verdana"/>
          <w:sz w:val="20"/>
          <w:szCs w:val="20"/>
        </w:rPr>
        <w:footnoteRef/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Garland, </w:t>
      </w:r>
      <w:r w:rsidRPr="58F5987A" w:rsidR="58F5987A">
        <w:rPr>
          <w:rFonts w:ascii="Verdana" w:hAnsi="Verdana" w:eastAsia="Verdana" w:cs="Verdana"/>
          <w:i w:val="1"/>
          <w:iCs w:val="1"/>
          <w:sz w:val="20"/>
          <w:szCs w:val="20"/>
        </w:rPr>
        <w:t xml:space="preserve">The Culture of Control, </w:t>
      </w:r>
      <w:r w:rsidRPr="58F5987A" w:rsidR="58F5987A">
        <w:rPr>
          <w:rFonts w:ascii="Verdana" w:hAnsi="Verdana" w:eastAsia="Verdana" w:cs="Verdana"/>
          <w:i w:val="0"/>
          <w:iCs w:val="0"/>
          <w:sz w:val="20"/>
          <w:szCs w:val="20"/>
        </w:rPr>
        <w:t>p.134.</w:t>
      </w:r>
    </w:p>
  </w:footnote>
  <w:footnote w:id="14783">
    <w:p w:rsidR="58F5987A" w:rsidP="58F5987A" w:rsidRDefault="58F5987A" w14:paraId="793D59F7" w14:textId="3D1A9C3C">
      <w:pPr>
        <w:pStyle w:val="FootnoteText"/>
        <w:bidi w:val="0"/>
        <w:ind w:firstLine="0"/>
        <w:rPr>
          <w:i w:val="0"/>
          <w:iCs w:val="0"/>
        </w:rPr>
      </w:pPr>
      <w:r w:rsidRPr="58F5987A">
        <w:rPr>
          <w:rStyle w:val="FootnoteReference"/>
          <w:rFonts w:ascii="Verdana" w:hAnsi="Verdana" w:eastAsia="Verdana" w:cs="Verdana"/>
          <w:sz w:val="20"/>
          <w:szCs w:val="20"/>
        </w:rPr>
        <w:footnoteRef/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Garland, </w:t>
      </w:r>
      <w:r w:rsidRPr="58F5987A" w:rsidR="58F5987A">
        <w:rPr>
          <w:rFonts w:ascii="Verdana" w:hAnsi="Verdana" w:eastAsia="Verdana" w:cs="Verdana"/>
          <w:i w:val="1"/>
          <w:iCs w:val="1"/>
          <w:sz w:val="20"/>
          <w:szCs w:val="20"/>
        </w:rPr>
        <w:t>The Culture of Control,</w:t>
      </w:r>
      <w:r w:rsidRPr="58F5987A" w:rsidR="58F5987A">
        <w:rPr>
          <w:rFonts w:ascii="Verdana" w:hAnsi="Verdana" w:eastAsia="Verdana" w:cs="Verdana"/>
          <w:i w:val="0"/>
          <w:iCs w:val="0"/>
          <w:sz w:val="20"/>
          <w:szCs w:val="20"/>
        </w:rPr>
        <w:t xml:space="preserve"> p.165.</w:t>
      </w:r>
    </w:p>
  </w:footnote>
  <w:footnote w:id="26720">
    <w:p w:rsidR="58F5987A" w:rsidP="58F5987A" w:rsidRDefault="58F5987A" w14:paraId="051FEE34" w14:textId="12542FA9">
      <w:pPr>
        <w:pStyle w:val="FootnoteText"/>
        <w:bidi w:val="0"/>
        <w:ind w:firstLine="0"/>
      </w:pPr>
      <w:r w:rsidRPr="58F5987A">
        <w:rPr>
          <w:rStyle w:val="FootnoteReference"/>
          <w:rFonts w:ascii="Verdana" w:hAnsi="Verdana" w:eastAsia="Verdana" w:cs="Verdana"/>
          <w:sz w:val="20"/>
          <w:szCs w:val="20"/>
        </w:rPr>
        <w:footnoteRef/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Denny</w:t>
      </w:r>
      <w:r w:rsidRPr="58F5987A" w:rsidR="58F5987A">
        <w:rPr>
          <w:rFonts w:ascii="Verdana" w:hAnsi="Verdana" w:eastAsia="Verdana" w:cs="Verdana"/>
          <w:sz w:val="20"/>
          <w:szCs w:val="20"/>
        </w:rPr>
        <w:t>, ”To</w:t>
      </w:r>
      <w:r w:rsidRPr="58F5987A" w:rsidR="58F5987A">
        <w:rPr>
          <w:rFonts w:ascii="Verdana" w:hAnsi="Verdana" w:eastAsia="Verdana" w:cs="Verdana"/>
          <w:sz w:val="20"/>
          <w:szCs w:val="20"/>
        </w:rPr>
        <w:t xml:space="preserve"> Wage a War”, p.16.</w:t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F7CBDD" w:rsidTr="58F5987A" w14:paraId="1C7C983F">
      <w:trPr>
        <w:trHeight w:val="300"/>
      </w:trPr>
      <w:tc>
        <w:tcPr>
          <w:tcW w:w="3120" w:type="dxa"/>
          <w:tcMar/>
        </w:tcPr>
        <w:p w:rsidR="21F7CBDD" w:rsidP="21F7CBDD" w:rsidRDefault="21F7CBDD" w14:paraId="0B109107" w14:textId="34731C46" w14:noSpellErr="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F7CBDD" w:rsidP="21F7CBDD" w:rsidRDefault="21F7CBDD" w14:paraId="0FAB63E2" w14:textId="4CC42B11" w14:noSpellErr="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F7CBDD" w:rsidP="21F7CBDD" w:rsidRDefault="21F7CBDD" w14:paraId="3253B79D" w14:textId="1B240C33" w14:noSpellErr="1">
          <w:pPr>
            <w:pStyle w:val="Header"/>
            <w:bidi w:val="0"/>
            <w:ind w:right="-115"/>
            <w:jc w:val="right"/>
          </w:pPr>
        </w:p>
      </w:tc>
    </w:tr>
  </w:tbl>
  <w:p w:rsidR="21F7CBDD" w:rsidP="21F7CBDD" w:rsidRDefault="21F7CBDD" w14:paraId="0A57183B" w14:textId="5F559AE5" w14:noSpellErr="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T1Vxaxso" int2:invalidationBookmarkName="" int2:hashCode="051uur3qTsy1Ie" int2:id="0FdVC9kc">
      <int2:state int2:type="style" int2:value="Rejected"/>
    </int2:bookmark>
    <int2:bookmark int2:bookmarkName="_Int_yOLQUIsE" int2:invalidationBookmarkName="" int2:hashCode="ttov9QNNzkrUV6" int2:id="n0VJog3N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85BC0B"/>
    <w:rsid w:val="00053A53"/>
    <w:rsid w:val="0024EBEC"/>
    <w:rsid w:val="0087ED3F"/>
    <w:rsid w:val="0089E23E"/>
    <w:rsid w:val="00ABA1B0"/>
    <w:rsid w:val="01096C78"/>
    <w:rsid w:val="010EBC41"/>
    <w:rsid w:val="011577AA"/>
    <w:rsid w:val="012FF1B1"/>
    <w:rsid w:val="01665069"/>
    <w:rsid w:val="019D6779"/>
    <w:rsid w:val="0202062C"/>
    <w:rsid w:val="021CFC41"/>
    <w:rsid w:val="027C8381"/>
    <w:rsid w:val="029CC848"/>
    <w:rsid w:val="02CE3275"/>
    <w:rsid w:val="02E02F81"/>
    <w:rsid w:val="034F38CC"/>
    <w:rsid w:val="035B3212"/>
    <w:rsid w:val="03A6EFAA"/>
    <w:rsid w:val="03CACE97"/>
    <w:rsid w:val="03CEE0FD"/>
    <w:rsid w:val="0495E094"/>
    <w:rsid w:val="04AC62FB"/>
    <w:rsid w:val="04D14A58"/>
    <w:rsid w:val="04EFA037"/>
    <w:rsid w:val="0501E50C"/>
    <w:rsid w:val="051F5F05"/>
    <w:rsid w:val="054A825A"/>
    <w:rsid w:val="058EF1ED"/>
    <w:rsid w:val="05A0A4CE"/>
    <w:rsid w:val="061BEF0B"/>
    <w:rsid w:val="06753AF6"/>
    <w:rsid w:val="06EABE32"/>
    <w:rsid w:val="072B71D9"/>
    <w:rsid w:val="0736B387"/>
    <w:rsid w:val="0747441C"/>
    <w:rsid w:val="07690426"/>
    <w:rsid w:val="085FF5DF"/>
    <w:rsid w:val="0886563A"/>
    <w:rsid w:val="088FACCF"/>
    <w:rsid w:val="08B53875"/>
    <w:rsid w:val="09195850"/>
    <w:rsid w:val="0955800D"/>
    <w:rsid w:val="096A900C"/>
    <w:rsid w:val="09C04871"/>
    <w:rsid w:val="09DE5BFB"/>
    <w:rsid w:val="0AAB7860"/>
    <w:rsid w:val="0AB4E2D7"/>
    <w:rsid w:val="0BA85C58"/>
    <w:rsid w:val="0BB6B25C"/>
    <w:rsid w:val="0C0F738B"/>
    <w:rsid w:val="0C323981"/>
    <w:rsid w:val="0CF147CC"/>
    <w:rsid w:val="0D584C75"/>
    <w:rsid w:val="0D6BA656"/>
    <w:rsid w:val="0E04A185"/>
    <w:rsid w:val="0E0A6980"/>
    <w:rsid w:val="0E67FE53"/>
    <w:rsid w:val="0F09DEE0"/>
    <w:rsid w:val="0F262CEF"/>
    <w:rsid w:val="0F63EB34"/>
    <w:rsid w:val="0F74D974"/>
    <w:rsid w:val="0F851A8B"/>
    <w:rsid w:val="0F93E8C9"/>
    <w:rsid w:val="1001CC91"/>
    <w:rsid w:val="101B496A"/>
    <w:rsid w:val="1032123B"/>
    <w:rsid w:val="1103B7BB"/>
    <w:rsid w:val="1135955E"/>
    <w:rsid w:val="11CEC0B1"/>
    <w:rsid w:val="11DE4021"/>
    <w:rsid w:val="1202945A"/>
    <w:rsid w:val="121FC560"/>
    <w:rsid w:val="12227D02"/>
    <w:rsid w:val="129C6498"/>
    <w:rsid w:val="130C79BC"/>
    <w:rsid w:val="13247204"/>
    <w:rsid w:val="133F5638"/>
    <w:rsid w:val="134CC748"/>
    <w:rsid w:val="1384BD34"/>
    <w:rsid w:val="13B348F6"/>
    <w:rsid w:val="13CAE938"/>
    <w:rsid w:val="13D56CBE"/>
    <w:rsid w:val="140957C3"/>
    <w:rsid w:val="1429948C"/>
    <w:rsid w:val="146A7D78"/>
    <w:rsid w:val="147E580A"/>
    <w:rsid w:val="14B03844"/>
    <w:rsid w:val="154AB469"/>
    <w:rsid w:val="156EC543"/>
    <w:rsid w:val="157EC302"/>
    <w:rsid w:val="15955BB9"/>
    <w:rsid w:val="15D8D366"/>
    <w:rsid w:val="160E8554"/>
    <w:rsid w:val="16A71491"/>
    <w:rsid w:val="16D42F36"/>
    <w:rsid w:val="16DE3158"/>
    <w:rsid w:val="16F4FDF2"/>
    <w:rsid w:val="1706B500"/>
    <w:rsid w:val="1710FE1D"/>
    <w:rsid w:val="17AFA37D"/>
    <w:rsid w:val="1856A7BF"/>
    <w:rsid w:val="18CC6C5B"/>
    <w:rsid w:val="19546911"/>
    <w:rsid w:val="1976BF71"/>
    <w:rsid w:val="19972475"/>
    <w:rsid w:val="19A7AC98"/>
    <w:rsid w:val="19C16B79"/>
    <w:rsid w:val="19E9AAF8"/>
    <w:rsid w:val="1A5BE5A6"/>
    <w:rsid w:val="1A948A37"/>
    <w:rsid w:val="1AB9E043"/>
    <w:rsid w:val="1AC466AC"/>
    <w:rsid w:val="1BBF6205"/>
    <w:rsid w:val="1BD5F989"/>
    <w:rsid w:val="1C68B331"/>
    <w:rsid w:val="1D085C57"/>
    <w:rsid w:val="1D18DAC1"/>
    <w:rsid w:val="1D292061"/>
    <w:rsid w:val="1D2F119B"/>
    <w:rsid w:val="1D42736E"/>
    <w:rsid w:val="1D51E2DB"/>
    <w:rsid w:val="1D6F0E7E"/>
    <w:rsid w:val="1D7B268A"/>
    <w:rsid w:val="1D9D951A"/>
    <w:rsid w:val="1DE3DB1E"/>
    <w:rsid w:val="1DFC82BA"/>
    <w:rsid w:val="1E1513A2"/>
    <w:rsid w:val="1E20AF11"/>
    <w:rsid w:val="1ECBD57C"/>
    <w:rsid w:val="1F081FEA"/>
    <w:rsid w:val="1F1D00AE"/>
    <w:rsid w:val="1F26AFA9"/>
    <w:rsid w:val="1F835E0B"/>
    <w:rsid w:val="1F8B13B6"/>
    <w:rsid w:val="2000EAD1"/>
    <w:rsid w:val="201AFA94"/>
    <w:rsid w:val="20240131"/>
    <w:rsid w:val="204234BC"/>
    <w:rsid w:val="20557875"/>
    <w:rsid w:val="207C5AC4"/>
    <w:rsid w:val="2089C4D2"/>
    <w:rsid w:val="20AF0923"/>
    <w:rsid w:val="213B60AF"/>
    <w:rsid w:val="2154251F"/>
    <w:rsid w:val="217014DF"/>
    <w:rsid w:val="2175311E"/>
    <w:rsid w:val="219005C2"/>
    <w:rsid w:val="21BA75F7"/>
    <w:rsid w:val="21F7CBDD"/>
    <w:rsid w:val="220A06F9"/>
    <w:rsid w:val="2216B1B8"/>
    <w:rsid w:val="222A7710"/>
    <w:rsid w:val="2285E37E"/>
    <w:rsid w:val="22A0A491"/>
    <w:rsid w:val="22B40E33"/>
    <w:rsid w:val="22DFB530"/>
    <w:rsid w:val="22DFD038"/>
    <w:rsid w:val="22F6DE64"/>
    <w:rsid w:val="23269D8D"/>
    <w:rsid w:val="23708117"/>
    <w:rsid w:val="24374DD7"/>
    <w:rsid w:val="2445197B"/>
    <w:rsid w:val="24C91B37"/>
    <w:rsid w:val="24F6F0AA"/>
    <w:rsid w:val="24FEC91A"/>
    <w:rsid w:val="25149952"/>
    <w:rsid w:val="25355512"/>
    <w:rsid w:val="259D556A"/>
    <w:rsid w:val="25C1AFEA"/>
    <w:rsid w:val="261A77BA"/>
    <w:rsid w:val="263DF618"/>
    <w:rsid w:val="269795B4"/>
    <w:rsid w:val="269AC910"/>
    <w:rsid w:val="2713C6EE"/>
    <w:rsid w:val="2717B0FB"/>
    <w:rsid w:val="27A0FFB7"/>
    <w:rsid w:val="27F2C8AB"/>
    <w:rsid w:val="2806379F"/>
    <w:rsid w:val="285464A6"/>
    <w:rsid w:val="2894E9CD"/>
    <w:rsid w:val="28A7ED76"/>
    <w:rsid w:val="28B828F8"/>
    <w:rsid w:val="28F67C0D"/>
    <w:rsid w:val="292AC288"/>
    <w:rsid w:val="2936FBE4"/>
    <w:rsid w:val="2941070A"/>
    <w:rsid w:val="29501AA7"/>
    <w:rsid w:val="297F7E51"/>
    <w:rsid w:val="29878E0C"/>
    <w:rsid w:val="29A07026"/>
    <w:rsid w:val="29A469D3"/>
    <w:rsid w:val="29BC4F60"/>
    <w:rsid w:val="2A6F8E9E"/>
    <w:rsid w:val="2AB11595"/>
    <w:rsid w:val="2ADA4257"/>
    <w:rsid w:val="2AE9E42E"/>
    <w:rsid w:val="2B2E6D07"/>
    <w:rsid w:val="2B390BEA"/>
    <w:rsid w:val="2B7CF01F"/>
    <w:rsid w:val="2B90FBFC"/>
    <w:rsid w:val="2BA4DAEF"/>
    <w:rsid w:val="2C1D426E"/>
    <w:rsid w:val="2C4666B9"/>
    <w:rsid w:val="2C4C181C"/>
    <w:rsid w:val="2C7D2CF6"/>
    <w:rsid w:val="2CBDED33"/>
    <w:rsid w:val="2CEAF090"/>
    <w:rsid w:val="2D29F235"/>
    <w:rsid w:val="2D9F1664"/>
    <w:rsid w:val="2DC4941A"/>
    <w:rsid w:val="2E0BB1B1"/>
    <w:rsid w:val="2E1297B6"/>
    <w:rsid w:val="2E20002D"/>
    <w:rsid w:val="2E278044"/>
    <w:rsid w:val="2E2CA7E8"/>
    <w:rsid w:val="2E7FB7F8"/>
    <w:rsid w:val="2EE3FF44"/>
    <w:rsid w:val="2EF5E9C4"/>
    <w:rsid w:val="2EF68C27"/>
    <w:rsid w:val="2F013279"/>
    <w:rsid w:val="2F20A47B"/>
    <w:rsid w:val="2F487D19"/>
    <w:rsid w:val="2F5BCC7C"/>
    <w:rsid w:val="2FF1C0F5"/>
    <w:rsid w:val="304217C2"/>
    <w:rsid w:val="30B4BD3F"/>
    <w:rsid w:val="30C43734"/>
    <w:rsid w:val="3166B4B5"/>
    <w:rsid w:val="32F3CF16"/>
    <w:rsid w:val="32F8EA90"/>
    <w:rsid w:val="32FB32B3"/>
    <w:rsid w:val="33A605AE"/>
    <w:rsid w:val="33D42E0F"/>
    <w:rsid w:val="33DB8D54"/>
    <w:rsid w:val="34048386"/>
    <w:rsid w:val="343DB882"/>
    <w:rsid w:val="348D5F22"/>
    <w:rsid w:val="349CEF50"/>
    <w:rsid w:val="34B472B4"/>
    <w:rsid w:val="35042415"/>
    <w:rsid w:val="3508CF44"/>
    <w:rsid w:val="35112066"/>
    <w:rsid w:val="355F9CF9"/>
    <w:rsid w:val="35857B1A"/>
    <w:rsid w:val="35C7EC7B"/>
    <w:rsid w:val="366F9DAC"/>
    <w:rsid w:val="36A7AA66"/>
    <w:rsid w:val="37749805"/>
    <w:rsid w:val="377CBDBB"/>
    <w:rsid w:val="37809CC7"/>
    <w:rsid w:val="378EE08A"/>
    <w:rsid w:val="37909CCC"/>
    <w:rsid w:val="37C19FD0"/>
    <w:rsid w:val="382D36EB"/>
    <w:rsid w:val="388CBDC3"/>
    <w:rsid w:val="388D212C"/>
    <w:rsid w:val="38906273"/>
    <w:rsid w:val="389F6C4A"/>
    <w:rsid w:val="396281BC"/>
    <w:rsid w:val="398BD826"/>
    <w:rsid w:val="39DBFD36"/>
    <w:rsid w:val="3A1E2D35"/>
    <w:rsid w:val="3A5CA2EE"/>
    <w:rsid w:val="3AA70EE1"/>
    <w:rsid w:val="3AC0DC28"/>
    <w:rsid w:val="3AE38184"/>
    <w:rsid w:val="3B01B0C5"/>
    <w:rsid w:val="3B16271C"/>
    <w:rsid w:val="3B3529A5"/>
    <w:rsid w:val="3B9D38AD"/>
    <w:rsid w:val="3BB06BA8"/>
    <w:rsid w:val="3C45FDC5"/>
    <w:rsid w:val="3C989259"/>
    <w:rsid w:val="3CA6E2B8"/>
    <w:rsid w:val="3CF41962"/>
    <w:rsid w:val="3E2B80D4"/>
    <w:rsid w:val="3E814737"/>
    <w:rsid w:val="3EA58F75"/>
    <w:rsid w:val="3EEECF6C"/>
    <w:rsid w:val="3EFFCDF9"/>
    <w:rsid w:val="3F01F9D6"/>
    <w:rsid w:val="3F382F8C"/>
    <w:rsid w:val="3F5143E4"/>
    <w:rsid w:val="3F65452C"/>
    <w:rsid w:val="3F74D859"/>
    <w:rsid w:val="3F897F83"/>
    <w:rsid w:val="3F992E64"/>
    <w:rsid w:val="3FD3B7E0"/>
    <w:rsid w:val="400A92AF"/>
    <w:rsid w:val="409D1416"/>
    <w:rsid w:val="41065EF9"/>
    <w:rsid w:val="418ACD79"/>
    <w:rsid w:val="41B8A694"/>
    <w:rsid w:val="420F1573"/>
    <w:rsid w:val="422C3609"/>
    <w:rsid w:val="423EA9D4"/>
    <w:rsid w:val="42607BD1"/>
    <w:rsid w:val="42808095"/>
    <w:rsid w:val="42B98BE8"/>
    <w:rsid w:val="42D3D437"/>
    <w:rsid w:val="42DD1267"/>
    <w:rsid w:val="42E66F6F"/>
    <w:rsid w:val="43304644"/>
    <w:rsid w:val="436C956D"/>
    <w:rsid w:val="4385BC0B"/>
    <w:rsid w:val="43A78C49"/>
    <w:rsid w:val="4410D125"/>
    <w:rsid w:val="442752ED"/>
    <w:rsid w:val="444153B2"/>
    <w:rsid w:val="4465B025"/>
    <w:rsid w:val="4496AC1F"/>
    <w:rsid w:val="45367546"/>
    <w:rsid w:val="454D1E92"/>
    <w:rsid w:val="45E16D2B"/>
    <w:rsid w:val="45F7917F"/>
    <w:rsid w:val="45F9A5AE"/>
    <w:rsid w:val="45FC82E9"/>
    <w:rsid w:val="46080645"/>
    <w:rsid w:val="4649FED3"/>
    <w:rsid w:val="468F68A2"/>
    <w:rsid w:val="472779F5"/>
    <w:rsid w:val="4802C328"/>
    <w:rsid w:val="481EDFEC"/>
    <w:rsid w:val="484C21B0"/>
    <w:rsid w:val="487FF0B9"/>
    <w:rsid w:val="48B12D1C"/>
    <w:rsid w:val="490A58F0"/>
    <w:rsid w:val="491A2818"/>
    <w:rsid w:val="496524C1"/>
    <w:rsid w:val="498D768F"/>
    <w:rsid w:val="4990ACFE"/>
    <w:rsid w:val="49AA9F16"/>
    <w:rsid w:val="49DC5BDE"/>
    <w:rsid w:val="4A097F43"/>
    <w:rsid w:val="4A374BDC"/>
    <w:rsid w:val="4ACFD106"/>
    <w:rsid w:val="4AF2DAB0"/>
    <w:rsid w:val="4B61BE2E"/>
    <w:rsid w:val="4B930E93"/>
    <w:rsid w:val="4BCA8B6E"/>
    <w:rsid w:val="4BD776F8"/>
    <w:rsid w:val="4C796BF2"/>
    <w:rsid w:val="4C9A78AF"/>
    <w:rsid w:val="4D22EE3C"/>
    <w:rsid w:val="4D2CA3CE"/>
    <w:rsid w:val="4E83B978"/>
    <w:rsid w:val="4E9344C8"/>
    <w:rsid w:val="4EC35222"/>
    <w:rsid w:val="4EC662DE"/>
    <w:rsid w:val="4ED8562E"/>
    <w:rsid w:val="4F0A4CF0"/>
    <w:rsid w:val="4F89FF3D"/>
    <w:rsid w:val="4FB8E599"/>
    <w:rsid w:val="4FE18A29"/>
    <w:rsid w:val="5083AF92"/>
    <w:rsid w:val="50C9EF84"/>
    <w:rsid w:val="512E4A3E"/>
    <w:rsid w:val="5156C727"/>
    <w:rsid w:val="51A22004"/>
    <w:rsid w:val="51B5C820"/>
    <w:rsid w:val="522BD47E"/>
    <w:rsid w:val="52A4E97D"/>
    <w:rsid w:val="532882E9"/>
    <w:rsid w:val="5335DE11"/>
    <w:rsid w:val="5351C594"/>
    <w:rsid w:val="538ACD73"/>
    <w:rsid w:val="5392581C"/>
    <w:rsid w:val="539320B1"/>
    <w:rsid w:val="539C76D4"/>
    <w:rsid w:val="53F7F60A"/>
    <w:rsid w:val="545BA26B"/>
    <w:rsid w:val="5511A943"/>
    <w:rsid w:val="558F49C4"/>
    <w:rsid w:val="55918791"/>
    <w:rsid w:val="55C93B9C"/>
    <w:rsid w:val="562627CF"/>
    <w:rsid w:val="563ADB73"/>
    <w:rsid w:val="5689D9C4"/>
    <w:rsid w:val="569CBFF4"/>
    <w:rsid w:val="576FA390"/>
    <w:rsid w:val="57AA2B14"/>
    <w:rsid w:val="57DCB23E"/>
    <w:rsid w:val="57DD2811"/>
    <w:rsid w:val="57DF47D2"/>
    <w:rsid w:val="58397042"/>
    <w:rsid w:val="585594B9"/>
    <w:rsid w:val="58ADFC66"/>
    <w:rsid w:val="58CC1B40"/>
    <w:rsid w:val="58EDE92A"/>
    <w:rsid w:val="58F5987A"/>
    <w:rsid w:val="59039974"/>
    <w:rsid w:val="59390FFE"/>
    <w:rsid w:val="593B4806"/>
    <w:rsid w:val="597FEB01"/>
    <w:rsid w:val="59E3F97B"/>
    <w:rsid w:val="5A225263"/>
    <w:rsid w:val="5A36B283"/>
    <w:rsid w:val="5A6DBC55"/>
    <w:rsid w:val="5A839A9B"/>
    <w:rsid w:val="5A951172"/>
    <w:rsid w:val="5AD74C87"/>
    <w:rsid w:val="5B21FDEE"/>
    <w:rsid w:val="5B658B91"/>
    <w:rsid w:val="5B6ABDF4"/>
    <w:rsid w:val="5B6DF71E"/>
    <w:rsid w:val="5C10CEB9"/>
    <w:rsid w:val="5C54F53A"/>
    <w:rsid w:val="5C603C80"/>
    <w:rsid w:val="5C8A62DD"/>
    <w:rsid w:val="5CAA4031"/>
    <w:rsid w:val="5CB161AC"/>
    <w:rsid w:val="5D55FF46"/>
    <w:rsid w:val="5D80E381"/>
    <w:rsid w:val="5E8E232E"/>
    <w:rsid w:val="5EA5A5A3"/>
    <w:rsid w:val="5EDC6968"/>
    <w:rsid w:val="5F2B1AE7"/>
    <w:rsid w:val="5F6C2D91"/>
    <w:rsid w:val="5F718870"/>
    <w:rsid w:val="5F844539"/>
    <w:rsid w:val="5F95FF14"/>
    <w:rsid w:val="60010563"/>
    <w:rsid w:val="6008B59F"/>
    <w:rsid w:val="60152B9F"/>
    <w:rsid w:val="6027A082"/>
    <w:rsid w:val="60343EB1"/>
    <w:rsid w:val="60997CA0"/>
    <w:rsid w:val="60998BE8"/>
    <w:rsid w:val="60FE3B5E"/>
    <w:rsid w:val="6158C93C"/>
    <w:rsid w:val="61C7ED5A"/>
    <w:rsid w:val="626C714A"/>
    <w:rsid w:val="6282D426"/>
    <w:rsid w:val="62C7F4CB"/>
    <w:rsid w:val="62D2702F"/>
    <w:rsid w:val="630D9B68"/>
    <w:rsid w:val="6316406A"/>
    <w:rsid w:val="632D566F"/>
    <w:rsid w:val="6369137E"/>
    <w:rsid w:val="636D6C34"/>
    <w:rsid w:val="638043B0"/>
    <w:rsid w:val="639785DE"/>
    <w:rsid w:val="63DFFA4A"/>
    <w:rsid w:val="640A4E67"/>
    <w:rsid w:val="640BDCE6"/>
    <w:rsid w:val="64236808"/>
    <w:rsid w:val="645C2A0A"/>
    <w:rsid w:val="648D8DC9"/>
    <w:rsid w:val="6502EBC2"/>
    <w:rsid w:val="6504017A"/>
    <w:rsid w:val="653333D9"/>
    <w:rsid w:val="655C297A"/>
    <w:rsid w:val="655FE92C"/>
    <w:rsid w:val="65D91CB7"/>
    <w:rsid w:val="65D972FA"/>
    <w:rsid w:val="65DC9694"/>
    <w:rsid w:val="666BF04D"/>
    <w:rsid w:val="668426B9"/>
    <w:rsid w:val="6686B595"/>
    <w:rsid w:val="67A1D993"/>
    <w:rsid w:val="67FFBE55"/>
    <w:rsid w:val="680D9048"/>
    <w:rsid w:val="681C4366"/>
    <w:rsid w:val="686333B0"/>
    <w:rsid w:val="689753D3"/>
    <w:rsid w:val="68B42422"/>
    <w:rsid w:val="693FFB47"/>
    <w:rsid w:val="69406E65"/>
    <w:rsid w:val="6949B407"/>
    <w:rsid w:val="69645ACC"/>
    <w:rsid w:val="6966F6B3"/>
    <w:rsid w:val="69A4D177"/>
    <w:rsid w:val="6A6DA162"/>
    <w:rsid w:val="6A82FBEA"/>
    <w:rsid w:val="6A93A380"/>
    <w:rsid w:val="6AC8D964"/>
    <w:rsid w:val="6AF4C373"/>
    <w:rsid w:val="6B1A6621"/>
    <w:rsid w:val="6B679F81"/>
    <w:rsid w:val="6BB8E352"/>
    <w:rsid w:val="6BC60CD7"/>
    <w:rsid w:val="6BFE1DC3"/>
    <w:rsid w:val="6C4C54BD"/>
    <w:rsid w:val="6C74A650"/>
    <w:rsid w:val="6C7D2F22"/>
    <w:rsid w:val="6CF68A4D"/>
    <w:rsid w:val="6D02C272"/>
    <w:rsid w:val="6D0BECAA"/>
    <w:rsid w:val="6D53CC82"/>
    <w:rsid w:val="6D64207F"/>
    <w:rsid w:val="6D805D05"/>
    <w:rsid w:val="6DA2E421"/>
    <w:rsid w:val="6E4C5511"/>
    <w:rsid w:val="6E6AB95A"/>
    <w:rsid w:val="6E6F9352"/>
    <w:rsid w:val="6E992263"/>
    <w:rsid w:val="6EAE341B"/>
    <w:rsid w:val="6F589D35"/>
    <w:rsid w:val="6F7AA46C"/>
    <w:rsid w:val="6F90AF2F"/>
    <w:rsid w:val="6F9501BE"/>
    <w:rsid w:val="6FA30CB9"/>
    <w:rsid w:val="6FA3A8DA"/>
    <w:rsid w:val="6FCE3750"/>
    <w:rsid w:val="708C3D8D"/>
    <w:rsid w:val="70B75DB2"/>
    <w:rsid w:val="70D968A8"/>
    <w:rsid w:val="71149CEE"/>
    <w:rsid w:val="71511509"/>
    <w:rsid w:val="722901DB"/>
    <w:rsid w:val="72858D4B"/>
    <w:rsid w:val="72C44DB7"/>
    <w:rsid w:val="72C4EF60"/>
    <w:rsid w:val="72F0815F"/>
    <w:rsid w:val="72F420AE"/>
    <w:rsid w:val="731997F5"/>
    <w:rsid w:val="73214533"/>
    <w:rsid w:val="735FA9A5"/>
    <w:rsid w:val="73E5094A"/>
    <w:rsid w:val="73F70C11"/>
    <w:rsid w:val="7423F016"/>
    <w:rsid w:val="7450105B"/>
    <w:rsid w:val="7452FEBD"/>
    <w:rsid w:val="752AF5C1"/>
    <w:rsid w:val="7537C028"/>
    <w:rsid w:val="75A54C35"/>
    <w:rsid w:val="75BA9646"/>
    <w:rsid w:val="75EEC341"/>
    <w:rsid w:val="7613FBB2"/>
    <w:rsid w:val="764D9069"/>
    <w:rsid w:val="7654E6D8"/>
    <w:rsid w:val="767A8E3F"/>
    <w:rsid w:val="76A71997"/>
    <w:rsid w:val="77199B7E"/>
    <w:rsid w:val="774CE168"/>
    <w:rsid w:val="78195267"/>
    <w:rsid w:val="78323DEE"/>
    <w:rsid w:val="783BEABE"/>
    <w:rsid w:val="784771C8"/>
    <w:rsid w:val="786B7D82"/>
    <w:rsid w:val="788E3B52"/>
    <w:rsid w:val="78C4D8A2"/>
    <w:rsid w:val="78CA66FA"/>
    <w:rsid w:val="78DD1C77"/>
    <w:rsid w:val="78FAABB3"/>
    <w:rsid w:val="795C44D1"/>
    <w:rsid w:val="79C39362"/>
    <w:rsid w:val="7B07B419"/>
    <w:rsid w:val="7B0B3951"/>
    <w:rsid w:val="7B70E516"/>
    <w:rsid w:val="7BE39835"/>
    <w:rsid w:val="7C08E67F"/>
    <w:rsid w:val="7C2278BC"/>
    <w:rsid w:val="7C40C37D"/>
    <w:rsid w:val="7CC398B1"/>
    <w:rsid w:val="7CD1134E"/>
    <w:rsid w:val="7D1BD31A"/>
    <w:rsid w:val="7DC56D1A"/>
    <w:rsid w:val="7DC7270A"/>
    <w:rsid w:val="7DE48018"/>
    <w:rsid w:val="7E3B6D46"/>
    <w:rsid w:val="7EB25451"/>
    <w:rsid w:val="7EB4C30C"/>
    <w:rsid w:val="7EE2C96D"/>
    <w:rsid w:val="7EF1BDA8"/>
    <w:rsid w:val="7EF5D8EC"/>
    <w:rsid w:val="7F458FB6"/>
    <w:rsid w:val="7F64FC99"/>
    <w:rsid w:val="7F830EA1"/>
    <w:rsid w:val="7FD87393"/>
    <w:rsid w:val="7FEAB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5BC0B"/>
  <w15:chartTrackingRefBased/>
  <w15:docId w15:val="{93AB823E-EE1B-463E-8746-3A1DF66BE8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8F5987A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58F598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8F598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8F5987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58F5987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58F5987A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58F5987A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58F5987A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58F5987A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58F5987A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58F5987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58F5987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58F5987A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58F5987A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FootnoteText">
    <w:uiPriority w:val="99"/>
    <w:name w:val="footnote text"/>
    <w:basedOn w:val="Normal"/>
    <w:semiHidden/>
    <w:unhideWhenUsed/>
    <w:rsid w:val="58F5987A"/>
    <w:rPr>
      <w:sz w:val="20"/>
      <w:szCs w:val="20"/>
    </w:rPr>
    <w:pPr>
      <w:spacing w:after="0" w:line="240" w:lineRule="auto"/>
    </w:pPr>
  </w:style>
  <w:style w:type="paragraph" w:styleId="Header">
    <w:uiPriority w:val="99"/>
    <w:name w:val="header"/>
    <w:basedOn w:val="Normal"/>
    <w:unhideWhenUsed/>
    <w:rsid w:val="58F5987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8F5987A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21F7CBDD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FootnoteReference" mc:Ignorable="w14">
    <w:basedOn xmlns:w="http://schemas.openxmlformats.org/wordprocessingml/2006/main" w:val="DefaultParagraphFont"/>
    <w:name xmlns:w="http://schemas.openxmlformats.org/wordprocessingml/2006/main" w:val="foot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5fcf3994f914142" /><Relationship Type="http://schemas.openxmlformats.org/officeDocument/2006/relationships/footer" Target="footer.xml" Id="R38c813a4fcb84066" /><Relationship Type="http://schemas.openxmlformats.org/officeDocument/2006/relationships/footnotes" Target="footnotes.xml" Id="Ra238e6d742df4b38" /><Relationship Type="http://schemas.openxmlformats.org/officeDocument/2006/relationships/hyperlink" Target="https://www.researchgate.net/publication/333295356_Lupe's_Story_Lupe_Gallardo_Marshall_at_the_Memorial_Day_Massacre_at_Republic_Steel_South_Chicago_1937" TargetMode="External" Id="R37308f672e3e4714" /><Relationship Type="http://schemas.openxmlformats.org/officeDocument/2006/relationships/hyperlink" Target="https://www.fdrlibrary.org/wagner-act" TargetMode="External" Id="Rea3d879ba1bd418f" /><Relationship Type="http://schemas.microsoft.com/office/2020/10/relationships/intelligence" Target="intelligence2.xml" Id="R7179c8569123440f" /></Relationships>
</file>

<file path=word/_rels/footnotes.xml.rels>&#65279;<?xml version="1.0" encoding="utf-8"?><Relationships xmlns="http://schemas.openxmlformats.org/package/2006/relationships"><Relationship Type="http://schemas.openxmlformats.org/officeDocument/2006/relationships/hyperlink" Target="https://www.researchgate.net/publication/333295356_Lupe's_Story_Lupe_Gallardo_Marshall_at_the_Memorial_Day_Massacre_at_Republic_Steel_South_Chicago_1937" TargetMode="External" Id="R5044d90a362042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2025-11-03T19:02:49.2834202Z</dcterms:created>
  <dcterms:modified xsi:type="dcterms:W3CDTF">2025-11-07T00:19:31.1652319Z</dcterms:modified>
  <dc:creator>Sumner Cole</dc:creator>
  <lastModifiedBy>Sumner Cole</lastModifiedBy>
</coreProperties>
</file>