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4"/>
        <w:pBdr/>
        <w:bidi w:val="false"/>
        <w:spacing w:line="480" w:lineRule="auto"/>
        <w:ind/>
        <w:jc w:val="center"/>
        <w:rPr/>
      </w:pPr>
      <w:r>
        <w:rPr>
          <w:rFonts w:ascii="Ubuntu Mono" w:hAnsi="Ubuntu Mono"/>
          <w:u w:val="single"/>
        </w:rPr>
        <w:t xml:space="preserve">The Professionalisation of Paranoia: AS1 Source Analysis John Cruso, </w:t>
      </w:r>
      <w:r>
        <w:rPr>
          <w:rFonts w:ascii="Ubuntu Mono" w:hAnsi="Ubuntu Mono"/>
          <w:i/>
          <w:iCs/>
          <w:u w:val="single"/>
        </w:rPr>
        <w:t xml:space="preserve">Militarie Instructions for the Cavallrie</w:t>
      </w:r>
      <w:r/>
    </w:p>
    <w:p>
      <w:pPr>
        <w:pStyle w:val="924"/>
        <w:pBdr/>
        <w:bidi w:val="false"/>
        <w:spacing w:line="480" w:lineRule="auto"/>
        <w:ind/>
        <w:jc w:val="both"/>
        <w:rPr>
          <w:rFonts w:ascii="Ubuntu Mono" w:hAnsi="Ubuntu Mono"/>
          <w:i w:val="0"/>
          <w:iCs w:val="0"/>
          <w:u w:val="none"/>
        </w:rPr>
      </w:pPr>
      <w:r>
        <w:rPr>
          <w:rFonts w:ascii="Ubuntu Mono" w:hAnsi="Ubuntu Mono"/>
          <w:i w:val="0"/>
          <w:iCs w:val="0"/>
          <w:u w:val="none"/>
        </w:rPr>
      </w:r>
      <w:r>
        <w:rPr>
          <w:rFonts w:ascii="Ubuntu Mono" w:hAnsi="Ubuntu Mono"/>
          <w:i w:val="0"/>
          <w:iCs w:val="0"/>
          <w:u w:val="none"/>
        </w:rPr>
      </w:r>
      <w:r>
        <w:rPr>
          <w:rFonts w:ascii="Ubuntu Mono" w:hAnsi="Ubuntu Mono"/>
          <w:i w:val="0"/>
          <w:iCs w:val="0"/>
          <w:u w:val="none"/>
        </w:rPr>
      </w:r>
    </w:p>
    <w:p>
      <w:pPr>
        <w:pStyle w:val="924"/>
        <w:pBdr/>
        <w:bidi w:val="false"/>
        <w:spacing w:line="480" w:lineRule="auto"/>
        <w:ind/>
        <w:jc w:val="both"/>
        <w:rPr/>
      </w:pPr>
      <w:r>
        <w:rPr>
          <w:rFonts w:ascii="Ubuntu Mono" w:hAnsi="Ubuntu Mono"/>
          <w:i w:val="0"/>
          <w:iCs w:val="0"/>
          <w:u w:val="none"/>
        </w:rPr>
        <w:tab/>
        <w:t xml:space="preserve">Mid-seventeenth century warfare was transforming in Europe from a feudal art into a professional science as a result of the so-called </w:t>
      </w:r>
      <w:r>
        <w:rPr>
          <w:rFonts w:ascii="Ubuntu Mono" w:hAnsi="Ubuntu Mono"/>
          <w:i/>
          <w:iCs/>
          <w:u w:val="none"/>
        </w:rPr>
        <w:t xml:space="preserve">Military Revolution.</w:t>
      </w:r>
      <w:r>
        <w:rPr>
          <w:rFonts w:ascii="Ubuntu Mono" w:hAnsi="Ubuntu Mono"/>
          <w:i w:val="0"/>
          <w:iCs w:val="0"/>
          <w:u w:val="none"/>
        </w:rPr>
        <w:t xml:space="preserve"> As Parker argues, the shift required armies to move away from individual heroism toward a standardised discipline, where soldiers were expected to act as “cogs in a machine”</w:t>
      </w:r>
      <w:r>
        <w:rPr>
          <w:rStyle w:val="926"/>
          <w:rFonts w:ascii="Ubuntu Mono" w:hAnsi="Ubuntu Mono"/>
          <w:i w:val="0"/>
          <w:iCs w:val="0"/>
          <w:u w:val="none"/>
        </w:rPr>
        <w:footnoteReference w:id="2"/>
      </w:r>
      <w:r>
        <w:rPr>
          <w:rFonts w:ascii="Ubuntu Mono" w:hAnsi="Ubuntu Mono"/>
          <w:i w:val="0"/>
          <w:iCs w:val="0"/>
          <w:u w:val="none"/>
        </w:rPr>
        <w:t xml:space="preserve">, </w:t>
      </w:r>
      <w:r>
        <w:rPr>
          <w:rFonts w:ascii="Ubuntu Mono" w:hAnsi="Ubuntu Mono"/>
          <w:i w:val="0"/>
          <w:iCs w:val="0"/>
          <w:u w:val="none"/>
        </w:rPr>
        <w:t xml:space="preserve">directly contrasting the chaotic reality that was the English Civil War. Donagan makes explicit reference to “distinctive intimacy [where] clothing was a shaky guide to affiliation”</w:t>
      </w:r>
      <w:r>
        <w:rPr>
          <w:rStyle w:val="926"/>
          <w:rFonts w:ascii="Ubuntu Mono" w:hAnsi="Ubuntu Mono"/>
          <w:i w:val="0"/>
          <w:iCs w:val="0"/>
          <w:u w:val="none"/>
        </w:rPr>
        <w:footnoteReference w:id="3"/>
      </w:r>
      <w:r>
        <w:rPr>
          <w:rFonts w:ascii="Ubuntu Mono" w:hAnsi="Ubuntu Mono"/>
          <w:i w:val="0"/>
          <w:iCs w:val="0"/>
          <w:u w:val="none"/>
        </w:rPr>
        <w:t xml:space="preserve"> which defines the conflict and created an environment of profound confusion where differentiating friend from foe was a harsh reality. John Cruso’s </w:t>
      </w:r>
      <w:r>
        <w:rPr>
          <w:rFonts w:ascii="Ubuntu Mono" w:hAnsi="Ubuntu Mono"/>
          <w:i/>
          <w:iCs/>
          <w:u w:val="none"/>
        </w:rPr>
        <w:t xml:space="preserve">Militarie Instructions for the Cavallrie</w:t>
      </w:r>
      <w:r>
        <w:rPr>
          <w:rFonts w:ascii="Ubuntu Mono" w:hAnsi="Ubuntu Mono"/>
          <w:i w:val="0"/>
          <w:iCs w:val="0"/>
          <w:u w:val="none"/>
        </w:rPr>
        <w:t xml:space="preserve"> (1644) sits somewhere in the middle of these two forces. Its is important to highlight, as Christopher Joby does, that the original text was written in peacetime in 1632 and was then updated in 1644 because the nation had “fallen into times of Action”</w:t>
      </w:r>
      <w:r>
        <w:rPr>
          <w:rStyle w:val="926"/>
          <w:rFonts w:ascii="Ubuntu Mono" w:hAnsi="Ubuntu Mono"/>
          <w:i w:val="0"/>
          <w:iCs w:val="0"/>
          <w:u w:val="none"/>
        </w:rPr>
        <w:footnoteReference w:id="4"/>
      </w:r>
      <w:r>
        <w:rPr>
          <w:rFonts w:ascii="Ubuntu Mono" w:hAnsi="Ubuntu Mono"/>
          <w:i w:val="0"/>
          <w:iCs w:val="0"/>
          <w:u w:val="none"/>
        </w:rPr>
        <w:t xml:space="preserve">, attempting to impose rigorous continental European military theory onto the new recruits of the English army.</w:t>
      </w:r>
      <w:r>
        <w:rPr>
          <w:rFonts w:ascii="Ubuntu Mono" w:hAnsi="Ubuntu Mono"/>
          <w:i w:val="0"/>
          <w:iCs w:val="0"/>
          <w:u w:val="none"/>
          <w:lang w:val="en"/>
        </w:rPr>
        <w:t xml:space="preserve"> By analysing Cruso’s strict commands to purge “Rogues, vagabonds, and idle persons”</w:t>
      </w:r>
      <w:r>
        <w:rPr>
          <w:rStyle w:val="926"/>
          <w:rFonts w:ascii="Ubuntu Mono" w:hAnsi="Ubuntu Mono"/>
          <w:i w:val="0"/>
          <w:iCs w:val="0"/>
          <w:u w:val="none"/>
          <w:lang w:val="en"/>
        </w:rPr>
        <w:footnoteReference w:id="5"/>
      </w:r>
      <w:r>
        <w:rPr>
          <w:rFonts w:ascii="Ubuntu Mono" w:hAnsi="Ubuntu Mono"/>
          <w:i w:val="0"/>
          <w:iCs w:val="0"/>
          <w:u w:val="none"/>
          <w:lang w:val="en"/>
        </w:rPr>
        <w:t xml:space="preserve"> it becomes clear that early modern intelligence was fundamentally a tool of social control. Therefore it is easy to demonstrate that security in 1644 relied less on technology and more on the strict policing of the social classes and the manipulation of interpersonal trust. </w:t>
      </w:r>
      <w:r/>
    </w:p>
    <w:sectPr>
      <w:footnotePr>
        <w:numFmt w:val="decimal"/>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w:panose1 w:val="020B03090306020302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sz w:val="12"/>
        </w:rPr>
      </w:pPr>
      <w:r>
        <w:separator/>
      </w:r>
      <w:r>
        <w:rPr>
          <w:sz w:val="12"/>
        </w:rPr>
      </w:r>
      <w:r>
        <w:rPr>
          <w:sz w:val="12"/>
        </w:rPr>
      </w:r>
    </w:p>
  </w:footnote>
  <w:footnote w:type="continuationSeparator" w:id="0">
    <w:p>
      <w:pPr>
        <w:pBdr/>
        <w:spacing/>
        <w:ind/>
        <w:rPr>
          <w:sz w:val="12"/>
        </w:rPr>
      </w:pPr>
      <w:r>
        <w:continuationSeparator/>
      </w:r>
      <w:r>
        <w:rPr>
          <w:sz w:val="12"/>
        </w:rPr>
      </w:r>
      <w:r>
        <w:rPr>
          <w:sz w:val="12"/>
        </w:rPr>
      </w:r>
    </w:p>
  </w:footnote>
  <w:footnote w:id="2">
    <w:p>
      <w:pPr>
        <w:pStyle w:val="934"/>
        <w:pBdr/>
        <w:spacing/>
        <w:ind/>
        <w:rPr/>
      </w:pPr>
      <w:r>
        <w:rPr>
          <w:rStyle w:val="925"/>
        </w:rPr>
        <w:footnoteRef/>
      </w:r>
      <w:r>
        <w:tab/>
        <w:t xml:space="preserve">Geoffrey Parker, ‘The “Military Revolution,” 1560-1660—a Myth?’, </w:t>
      </w:r>
      <w:r>
        <w:rPr>
          <w:i/>
          <w:iCs/>
        </w:rPr>
        <w:t xml:space="preserve">The Journal of Modern History, </w:t>
      </w:r>
      <w:r>
        <w:rPr>
          <w:i w:val="0"/>
          <w:iCs w:val="0"/>
        </w:rPr>
        <w:t xml:space="preserve">48.2 (1976), p.196.</w:t>
      </w:r>
      <w:r/>
    </w:p>
  </w:footnote>
  <w:footnote w:id="3">
    <w:p>
      <w:pPr>
        <w:pStyle w:val="934"/>
        <w:pBdr/>
        <w:spacing/>
        <w:ind/>
        <w:rPr/>
      </w:pPr>
      <w:r>
        <w:rPr>
          <w:rStyle w:val="925"/>
        </w:rPr>
        <w:footnoteRef/>
      </w:r>
      <w:r>
        <w:tab/>
        <w:t xml:space="preserve">Barbara Donagan, ‘Knowledge and Confusion’, in </w:t>
      </w:r>
      <w:r>
        <w:rPr>
          <w:i/>
          <w:iCs/>
        </w:rPr>
        <w:t xml:space="preserve">War in England 1642-1649</w:t>
      </w:r>
      <w:r>
        <w:rPr>
          <w:i w:val="0"/>
          <w:iCs w:val="0"/>
        </w:rPr>
        <w:t xml:space="preserve"> (Oxford: Oxford University Press, 2008), p.94.</w:t>
      </w:r>
      <w:r/>
    </w:p>
  </w:footnote>
  <w:footnote w:id="4">
    <w:p>
      <w:pPr>
        <w:pStyle w:val="934"/>
        <w:pBdr/>
        <w:spacing/>
        <w:ind/>
        <w:rPr/>
      </w:pPr>
      <w:r>
        <w:rPr>
          <w:rStyle w:val="925"/>
        </w:rPr>
        <w:footnoteRef/>
      </w:r>
      <w:r>
        <w:tab/>
        <w:t xml:space="preserve">Christopher Joby, ‘Cruso and the English Civil Wars’,  in </w:t>
      </w:r>
      <w:r>
        <w:rPr>
          <w:i/>
          <w:iCs/>
        </w:rPr>
        <w:t xml:space="preserve">John Cruso of Norwich and Anglo-Dutch Literary Identity in the Seventeenth Century</w:t>
      </w:r>
      <w:r>
        <w:rPr>
          <w:i w:val="0"/>
          <w:iCs w:val="0"/>
        </w:rPr>
        <w:t xml:space="preserve"> (Cambridge: Cambridge University Press, 2022), p.256.</w:t>
      </w:r>
      <w:r/>
    </w:p>
  </w:footnote>
  <w:footnote w:id="5">
    <w:p>
      <w:pPr>
        <w:pStyle w:val="934"/>
        <w:pBdr/>
        <w:spacing/>
        <w:ind/>
        <w:rPr>
          <w:bCs w:val="0"/>
          <w:i w:val="0"/>
        </w:rPr>
      </w:pPr>
      <w:r>
        <w:rPr>
          <w:rStyle w:val="926"/>
        </w:rPr>
        <w:footnoteRef/>
      </w:r>
      <w:r>
        <w:t xml:space="preserve"> </w:t>
      </w:r>
      <w:r>
        <w:rPr>
          <w:lang w:val="en"/>
        </w:rPr>
        <w:t xml:space="preserve">John Cruso, </w:t>
      </w:r>
      <w:r>
        <w:rPr>
          <w:i/>
          <w:iCs/>
          <w:lang w:val="en"/>
        </w:rPr>
        <w:t xml:space="preserve">Militarie Instructions for the Cavallrie</w:t>
      </w:r>
      <w:r>
        <w:rPr>
          <w:i w:val="0"/>
          <w:iCs w:val="0"/>
          <w:lang w:val="en"/>
        </w:rPr>
        <w:t xml:space="preserve"> (Cambridge: Roger Daniel, 1644)</w:t>
      </w:r>
      <w:r>
        <w:rPr>
          <w:lang w:val="en"/>
        </w:rPr>
        <w:t xml:space="preserve">. </w:t>
      </w:r>
      <w:r>
        <w:rPr>
          <w:bCs w:val="0"/>
          <w:i w:val="0"/>
        </w:rP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GB"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w:basedOn w:val="7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Table Grid Light"/>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1"/>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2"/>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3"/>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4"/>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5"/>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w:basedOn w:val="7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w:basedOn w:val="7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1"/>
    <w:basedOn w:val="7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2"/>
    <w:basedOn w:val="7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3"/>
    <w:basedOn w:val="7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4"/>
    <w:basedOn w:val="7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5"/>
    <w:basedOn w:val="7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6"/>
    <w:basedOn w:val="7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1"/>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2"/>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3"/>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4"/>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5"/>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6"/>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3">
    <w:name w:val="Grid Table 6 Colorful - Accent 1"/>
    <w:basedOn w:val="7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4">
    <w:name w:val="Grid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5">
    <w:name w:val="Grid Table 6 Colorful - Accent 3"/>
    <w:basedOn w:val="7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6">
    <w:name w:val="Grid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7">
    <w:name w:val="Grid Table 6 Colorful - Accent 5"/>
    <w:basedOn w:val="7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6 Colorful - Accent 6"/>
    <w:basedOn w:val="7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7 Colorful"/>
    <w:basedOn w:val="7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1"/>
    <w:basedOn w:val="7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5"/>
    <w:basedOn w:val="7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6"/>
    <w:basedOn w:val="7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1"/>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2"/>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3"/>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4"/>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5"/>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6"/>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w:basedOn w:val="7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1"/>
    <w:basedOn w:val="7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2"/>
    <w:basedOn w:val="7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3"/>
    <w:basedOn w:val="7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4"/>
    <w:basedOn w:val="7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5"/>
    <w:basedOn w:val="7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6"/>
    <w:basedOn w:val="7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1"/>
    <w:basedOn w:val="7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3"/>
    <w:basedOn w:val="7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5"/>
    <w:basedOn w:val="7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6"/>
    <w:basedOn w:val="7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1"/>
    <w:basedOn w:val="7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2"/>
    <w:basedOn w:val="7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3"/>
    <w:basedOn w:val="7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4"/>
    <w:basedOn w:val="7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5"/>
    <w:basedOn w:val="7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6"/>
    <w:basedOn w:val="7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w:basedOn w:val="7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1"/>
    <w:basedOn w:val="7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2"/>
    <w:basedOn w:val="7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3"/>
    <w:basedOn w:val="7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4"/>
    <w:basedOn w:val="7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5"/>
    <w:basedOn w:val="7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6"/>
    <w:basedOn w:val="7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1"/>
    <w:basedOn w:val="7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3"/>
    <w:basedOn w:val="7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5"/>
    <w:basedOn w:val="7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6"/>
    <w:basedOn w:val="7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w:basedOn w:val="7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9">
    <w:name w:val="List Table 7 Colorful - Accent 1"/>
    <w:basedOn w:val="7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40">
    <w:name w:val="List Table 7 Colorful - Accent 2"/>
    <w:basedOn w:val="7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41">
    <w:name w:val="List Table 7 Colorful - Accent 3"/>
    <w:basedOn w:val="7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42">
    <w:name w:val="List Table 7 Colorful - Accent 4"/>
    <w:basedOn w:val="7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43">
    <w:name w:val="List Table 7 Colorful - Accent 5"/>
    <w:basedOn w:val="7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44">
    <w:name w:val="List Table 7 Colorful - Accent 6"/>
    <w:basedOn w:val="7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45">
    <w:name w:val="Lined - Accent"/>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1"/>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2"/>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3"/>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4"/>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5"/>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6"/>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w:basedOn w:val="7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1"/>
    <w:basedOn w:val="7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2"/>
    <w:basedOn w:val="7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3"/>
    <w:basedOn w:val="7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4"/>
    <w:basedOn w:val="7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5"/>
    <w:basedOn w:val="7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6"/>
    <w:basedOn w:val="7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w:basedOn w:val="7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Heading 1"/>
    <w:basedOn w:val="924"/>
    <w:next w:val="924"/>
    <w:link w:val="87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7">
    <w:name w:val="Heading 2"/>
    <w:basedOn w:val="924"/>
    <w:next w:val="924"/>
    <w:link w:val="87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8">
    <w:name w:val="Heading 3"/>
    <w:basedOn w:val="924"/>
    <w:next w:val="924"/>
    <w:link w:val="87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9">
    <w:name w:val="Heading 4"/>
    <w:basedOn w:val="924"/>
    <w:next w:val="924"/>
    <w:link w:val="88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0">
    <w:name w:val="Heading 5"/>
    <w:basedOn w:val="924"/>
    <w:next w:val="924"/>
    <w:link w:val="88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1">
    <w:name w:val="Heading 6"/>
    <w:basedOn w:val="924"/>
    <w:next w:val="924"/>
    <w:link w:val="88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2">
    <w:name w:val="Heading 7"/>
    <w:basedOn w:val="924"/>
    <w:next w:val="924"/>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24"/>
    <w:next w:val="924"/>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24"/>
    <w:next w:val="924"/>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default="1">
    <w:name w:val="Default Paragraph Font"/>
    <w:uiPriority w:val="1"/>
    <w:semiHidden/>
    <w:unhideWhenUsed/>
    <w:pPr>
      <w:pBdr/>
      <w:spacing/>
      <w:ind/>
    </w:pPr>
  </w:style>
  <w:style w:type="numbering" w:styleId="876" w:default="1">
    <w:name w:val="No List"/>
    <w:uiPriority w:val="99"/>
    <w:semiHidden/>
    <w:unhideWhenUsed/>
    <w:pPr>
      <w:pBdr/>
      <w:spacing/>
      <w:ind/>
    </w:pPr>
  </w:style>
  <w:style w:type="character" w:styleId="877">
    <w:name w:val="Heading 1 Char"/>
    <w:basedOn w:val="875"/>
    <w:link w:val="866"/>
    <w:uiPriority w:val="9"/>
    <w:pPr>
      <w:pBdr/>
      <w:spacing/>
      <w:ind/>
    </w:pPr>
    <w:rPr>
      <w:rFonts w:ascii="Arial" w:hAnsi="Arial" w:eastAsia="Arial" w:cs="Arial"/>
      <w:color w:val="0f4761" w:themeColor="accent1" w:themeShade="BF"/>
      <w:sz w:val="40"/>
      <w:szCs w:val="40"/>
    </w:rPr>
  </w:style>
  <w:style w:type="character" w:styleId="878">
    <w:name w:val="Heading 2 Char"/>
    <w:basedOn w:val="875"/>
    <w:link w:val="867"/>
    <w:uiPriority w:val="9"/>
    <w:pPr>
      <w:pBdr/>
      <w:spacing/>
      <w:ind/>
    </w:pPr>
    <w:rPr>
      <w:rFonts w:ascii="Arial" w:hAnsi="Arial" w:eastAsia="Arial" w:cs="Arial"/>
      <w:color w:val="0f4761" w:themeColor="accent1" w:themeShade="BF"/>
      <w:sz w:val="32"/>
      <w:szCs w:val="32"/>
    </w:rPr>
  </w:style>
  <w:style w:type="character" w:styleId="879">
    <w:name w:val="Heading 3 Char"/>
    <w:basedOn w:val="875"/>
    <w:link w:val="868"/>
    <w:uiPriority w:val="9"/>
    <w:pPr>
      <w:pBdr/>
      <w:spacing/>
      <w:ind/>
    </w:pPr>
    <w:rPr>
      <w:rFonts w:ascii="Arial" w:hAnsi="Arial" w:eastAsia="Arial" w:cs="Arial"/>
      <w:color w:val="0f4761" w:themeColor="accent1" w:themeShade="BF"/>
      <w:sz w:val="28"/>
      <w:szCs w:val="28"/>
    </w:rPr>
  </w:style>
  <w:style w:type="character" w:styleId="880">
    <w:name w:val="Heading 4 Char"/>
    <w:basedOn w:val="875"/>
    <w:link w:val="869"/>
    <w:uiPriority w:val="9"/>
    <w:pPr>
      <w:pBdr/>
      <w:spacing/>
      <w:ind/>
    </w:pPr>
    <w:rPr>
      <w:rFonts w:ascii="Arial" w:hAnsi="Arial" w:eastAsia="Arial" w:cs="Arial"/>
      <w:i/>
      <w:iCs/>
      <w:color w:val="0f4761" w:themeColor="accent1" w:themeShade="BF"/>
    </w:rPr>
  </w:style>
  <w:style w:type="character" w:styleId="881">
    <w:name w:val="Heading 5 Char"/>
    <w:basedOn w:val="875"/>
    <w:link w:val="870"/>
    <w:uiPriority w:val="9"/>
    <w:pPr>
      <w:pBdr/>
      <w:spacing/>
      <w:ind/>
    </w:pPr>
    <w:rPr>
      <w:rFonts w:ascii="Arial" w:hAnsi="Arial" w:eastAsia="Arial" w:cs="Arial"/>
      <w:color w:val="0f4761" w:themeColor="accent1" w:themeShade="BF"/>
    </w:rPr>
  </w:style>
  <w:style w:type="character" w:styleId="882">
    <w:name w:val="Heading 6 Char"/>
    <w:basedOn w:val="875"/>
    <w:link w:val="871"/>
    <w:uiPriority w:val="9"/>
    <w:pPr>
      <w:pBdr/>
      <w:spacing/>
      <w:ind/>
    </w:pPr>
    <w:rPr>
      <w:rFonts w:ascii="Arial" w:hAnsi="Arial" w:eastAsia="Arial" w:cs="Arial"/>
      <w:i/>
      <w:iCs/>
      <w:color w:val="595959" w:themeColor="text1" w:themeTint="A6"/>
    </w:rPr>
  </w:style>
  <w:style w:type="character" w:styleId="883">
    <w:name w:val="Heading 7 Char"/>
    <w:basedOn w:val="875"/>
    <w:link w:val="872"/>
    <w:uiPriority w:val="9"/>
    <w:pPr>
      <w:pBdr/>
      <w:spacing/>
      <w:ind/>
    </w:pPr>
    <w:rPr>
      <w:rFonts w:ascii="Arial" w:hAnsi="Arial" w:eastAsia="Arial" w:cs="Arial"/>
      <w:color w:val="595959" w:themeColor="text1" w:themeTint="A6"/>
    </w:rPr>
  </w:style>
  <w:style w:type="character" w:styleId="884">
    <w:name w:val="Heading 8 Char"/>
    <w:basedOn w:val="875"/>
    <w:link w:val="873"/>
    <w:uiPriority w:val="9"/>
    <w:pPr>
      <w:pBdr/>
      <w:spacing/>
      <w:ind/>
    </w:pPr>
    <w:rPr>
      <w:rFonts w:ascii="Arial" w:hAnsi="Arial" w:eastAsia="Arial" w:cs="Arial"/>
      <w:i/>
      <w:iCs/>
      <w:color w:val="272727" w:themeColor="text1" w:themeTint="D8"/>
    </w:rPr>
  </w:style>
  <w:style w:type="character" w:styleId="885">
    <w:name w:val="Heading 9 Char"/>
    <w:basedOn w:val="875"/>
    <w:link w:val="874"/>
    <w:uiPriority w:val="9"/>
    <w:pPr>
      <w:pBdr/>
      <w:spacing/>
      <w:ind/>
    </w:pPr>
    <w:rPr>
      <w:rFonts w:ascii="Arial" w:hAnsi="Arial" w:eastAsia="Arial" w:cs="Arial"/>
      <w:i/>
      <w:iCs/>
      <w:color w:val="272727" w:themeColor="text1" w:themeTint="D8"/>
    </w:rPr>
  </w:style>
  <w:style w:type="paragraph" w:styleId="886">
    <w:name w:val="Title"/>
    <w:basedOn w:val="924"/>
    <w:next w:val="924"/>
    <w:link w:val="887"/>
    <w:uiPriority w:val="10"/>
    <w:qFormat/>
    <w:pPr>
      <w:pBdr/>
      <w:spacing w:after="80" w:line="240" w:lineRule="auto"/>
      <w:ind/>
      <w:contextualSpacing w:val="true"/>
    </w:pPr>
    <w:rPr>
      <w:rFonts w:ascii="Arial" w:hAnsi="Arial" w:eastAsia="Arial" w:cs="Arial"/>
      <w:spacing w:val="-10"/>
      <w:sz w:val="56"/>
      <w:szCs w:val="56"/>
    </w:rPr>
  </w:style>
  <w:style w:type="character" w:styleId="887">
    <w:name w:val="Title Char"/>
    <w:basedOn w:val="875"/>
    <w:link w:val="886"/>
    <w:uiPriority w:val="10"/>
    <w:pPr>
      <w:pBdr/>
      <w:spacing/>
      <w:ind/>
    </w:pPr>
    <w:rPr>
      <w:rFonts w:ascii="Arial" w:hAnsi="Arial" w:eastAsia="Arial" w:cs="Arial"/>
      <w:spacing w:val="-10"/>
      <w:sz w:val="56"/>
      <w:szCs w:val="56"/>
    </w:rPr>
  </w:style>
  <w:style w:type="paragraph" w:styleId="888">
    <w:name w:val="Subtitle"/>
    <w:basedOn w:val="924"/>
    <w:next w:val="924"/>
    <w:link w:val="889"/>
    <w:uiPriority w:val="11"/>
    <w:qFormat/>
    <w:pPr>
      <w:numPr>
        <w:ilvl w:val="1"/>
      </w:numPr>
      <w:pBdr/>
      <w:spacing/>
      <w:ind/>
    </w:pPr>
    <w:rPr>
      <w:color w:val="595959" w:themeColor="text1" w:themeTint="A6"/>
      <w:spacing w:val="15"/>
      <w:sz w:val="28"/>
      <w:szCs w:val="28"/>
    </w:rPr>
  </w:style>
  <w:style w:type="character" w:styleId="889">
    <w:name w:val="Subtitle Char"/>
    <w:basedOn w:val="875"/>
    <w:link w:val="888"/>
    <w:uiPriority w:val="11"/>
    <w:pPr>
      <w:pBdr/>
      <w:spacing/>
      <w:ind/>
    </w:pPr>
    <w:rPr>
      <w:color w:val="595959" w:themeColor="text1" w:themeTint="A6"/>
      <w:spacing w:val="15"/>
      <w:sz w:val="28"/>
      <w:szCs w:val="28"/>
    </w:rPr>
  </w:style>
  <w:style w:type="paragraph" w:styleId="890">
    <w:name w:val="Quote"/>
    <w:basedOn w:val="924"/>
    <w:next w:val="924"/>
    <w:link w:val="891"/>
    <w:uiPriority w:val="29"/>
    <w:qFormat/>
    <w:pPr>
      <w:pBdr/>
      <w:spacing w:before="160"/>
      <w:ind/>
      <w:jc w:val="center"/>
    </w:pPr>
    <w:rPr>
      <w:i/>
      <w:iCs/>
      <w:color w:val="404040" w:themeColor="text1" w:themeTint="BF"/>
    </w:rPr>
  </w:style>
  <w:style w:type="character" w:styleId="891">
    <w:name w:val="Quote Char"/>
    <w:basedOn w:val="875"/>
    <w:link w:val="890"/>
    <w:uiPriority w:val="29"/>
    <w:pPr>
      <w:pBdr/>
      <w:spacing/>
      <w:ind/>
    </w:pPr>
    <w:rPr>
      <w:i/>
      <w:iCs/>
      <w:color w:val="404040" w:themeColor="text1" w:themeTint="BF"/>
    </w:rPr>
  </w:style>
  <w:style w:type="paragraph" w:styleId="892">
    <w:name w:val="List Paragraph"/>
    <w:basedOn w:val="924"/>
    <w:uiPriority w:val="34"/>
    <w:qFormat/>
    <w:pPr>
      <w:pBdr/>
      <w:spacing/>
      <w:ind w:left="720"/>
      <w:contextualSpacing w:val="true"/>
    </w:pPr>
  </w:style>
  <w:style w:type="character" w:styleId="893">
    <w:name w:val="Intense Emphasis"/>
    <w:basedOn w:val="875"/>
    <w:uiPriority w:val="21"/>
    <w:qFormat/>
    <w:pPr>
      <w:pBdr/>
      <w:spacing/>
      <w:ind/>
    </w:pPr>
    <w:rPr>
      <w:i/>
      <w:iCs/>
      <w:color w:val="0f4761" w:themeColor="accent1" w:themeShade="BF"/>
    </w:rPr>
  </w:style>
  <w:style w:type="paragraph" w:styleId="894">
    <w:name w:val="Intense Quote"/>
    <w:basedOn w:val="924"/>
    <w:next w:val="924"/>
    <w:link w:val="89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5">
    <w:name w:val="Intense Quote Char"/>
    <w:basedOn w:val="875"/>
    <w:link w:val="894"/>
    <w:uiPriority w:val="30"/>
    <w:pPr>
      <w:pBdr/>
      <w:spacing/>
      <w:ind/>
    </w:pPr>
    <w:rPr>
      <w:i/>
      <w:iCs/>
      <w:color w:val="0f4761" w:themeColor="accent1" w:themeShade="BF"/>
    </w:rPr>
  </w:style>
  <w:style w:type="character" w:styleId="896">
    <w:name w:val="Intense Reference"/>
    <w:basedOn w:val="875"/>
    <w:uiPriority w:val="32"/>
    <w:qFormat/>
    <w:pPr>
      <w:pBdr/>
      <w:spacing/>
      <w:ind/>
    </w:pPr>
    <w:rPr>
      <w:b/>
      <w:bCs/>
      <w:smallCaps/>
      <w:color w:val="0f4761" w:themeColor="accent1" w:themeShade="BF"/>
      <w:spacing w:val="5"/>
    </w:rPr>
  </w:style>
  <w:style w:type="paragraph" w:styleId="897">
    <w:name w:val="No Spacing"/>
    <w:basedOn w:val="924"/>
    <w:uiPriority w:val="1"/>
    <w:qFormat/>
    <w:pPr>
      <w:pBdr/>
      <w:spacing w:after="0" w:line="240" w:lineRule="auto"/>
      <w:ind/>
    </w:pPr>
  </w:style>
  <w:style w:type="character" w:styleId="898">
    <w:name w:val="Subtle Emphasis"/>
    <w:basedOn w:val="875"/>
    <w:uiPriority w:val="19"/>
    <w:qFormat/>
    <w:pPr>
      <w:pBdr/>
      <w:spacing/>
      <w:ind/>
    </w:pPr>
    <w:rPr>
      <w:i/>
      <w:iCs/>
      <w:color w:val="404040" w:themeColor="text1" w:themeTint="BF"/>
    </w:rPr>
  </w:style>
  <w:style w:type="character" w:styleId="899">
    <w:name w:val="Emphasis"/>
    <w:basedOn w:val="875"/>
    <w:uiPriority w:val="20"/>
    <w:qFormat/>
    <w:pPr>
      <w:pBdr/>
      <w:spacing/>
      <w:ind/>
    </w:pPr>
    <w:rPr>
      <w:i/>
      <w:iCs/>
    </w:rPr>
  </w:style>
  <w:style w:type="character" w:styleId="900">
    <w:name w:val="Strong"/>
    <w:basedOn w:val="875"/>
    <w:uiPriority w:val="22"/>
    <w:qFormat/>
    <w:pPr>
      <w:pBdr/>
      <w:spacing/>
      <w:ind/>
    </w:pPr>
    <w:rPr>
      <w:b/>
      <w:bCs/>
    </w:rPr>
  </w:style>
  <w:style w:type="character" w:styleId="901">
    <w:name w:val="Subtle Reference"/>
    <w:basedOn w:val="875"/>
    <w:uiPriority w:val="31"/>
    <w:qFormat/>
    <w:pPr>
      <w:pBdr/>
      <w:spacing/>
      <w:ind/>
    </w:pPr>
    <w:rPr>
      <w:smallCaps/>
      <w:color w:val="5a5a5a" w:themeColor="text1" w:themeTint="A5"/>
    </w:rPr>
  </w:style>
  <w:style w:type="character" w:styleId="902">
    <w:name w:val="Book Title"/>
    <w:basedOn w:val="875"/>
    <w:uiPriority w:val="33"/>
    <w:qFormat/>
    <w:pPr>
      <w:pBdr/>
      <w:spacing/>
      <w:ind/>
    </w:pPr>
    <w:rPr>
      <w:b/>
      <w:bCs/>
      <w:i/>
      <w:iCs/>
      <w:spacing w:val="5"/>
    </w:rPr>
  </w:style>
  <w:style w:type="paragraph" w:styleId="903">
    <w:name w:val="Header"/>
    <w:basedOn w:val="924"/>
    <w:link w:val="904"/>
    <w:uiPriority w:val="99"/>
    <w:unhideWhenUsed/>
    <w:pPr>
      <w:pBdr/>
      <w:tabs>
        <w:tab w:val="center" w:leader="none" w:pos="4844"/>
        <w:tab w:val="right" w:leader="none" w:pos="9689"/>
      </w:tabs>
      <w:spacing w:after="0" w:line="240" w:lineRule="auto"/>
      <w:ind/>
    </w:pPr>
  </w:style>
  <w:style w:type="character" w:styleId="904">
    <w:name w:val="Header Char"/>
    <w:basedOn w:val="875"/>
    <w:link w:val="903"/>
    <w:uiPriority w:val="99"/>
    <w:pPr>
      <w:pBdr/>
      <w:spacing/>
      <w:ind/>
    </w:pPr>
  </w:style>
  <w:style w:type="paragraph" w:styleId="905">
    <w:name w:val="Footer"/>
    <w:basedOn w:val="924"/>
    <w:link w:val="906"/>
    <w:uiPriority w:val="99"/>
    <w:unhideWhenUsed/>
    <w:pPr>
      <w:pBdr/>
      <w:tabs>
        <w:tab w:val="center" w:leader="none" w:pos="4844"/>
        <w:tab w:val="right" w:leader="none" w:pos="9689"/>
      </w:tabs>
      <w:spacing w:after="0" w:line="240" w:lineRule="auto"/>
      <w:ind/>
    </w:pPr>
  </w:style>
  <w:style w:type="character" w:styleId="906">
    <w:name w:val="Footer Char"/>
    <w:basedOn w:val="875"/>
    <w:link w:val="905"/>
    <w:uiPriority w:val="99"/>
    <w:pPr>
      <w:pBdr/>
      <w:spacing/>
      <w:ind/>
    </w:pPr>
  </w:style>
  <w:style w:type="character" w:styleId="907">
    <w:name w:val="Footnote Text Char"/>
    <w:basedOn w:val="875"/>
    <w:link w:val="934"/>
    <w:uiPriority w:val="99"/>
    <w:semiHidden/>
    <w:pPr>
      <w:pBdr/>
      <w:spacing/>
      <w:ind/>
    </w:pPr>
    <w:rPr>
      <w:sz w:val="20"/>
      <w:szCs w:val="20"/>
    </w:rPr>
  </w:style>
  <w:style w:type="paragraph" w:styleId="908">
    <w:name w:val="endnote text"/>
    <w:basedOn w:val="924"/>
    <w:link w:val="909"/>
    <w:uiPriority w:val="99"/>
    <w:semiHidden/>
    <w:unhideWhenUsed/>
    <w:pPr>
      <w:pBdr/>
      <w:spacing w:after="0" w:line="240" w:lineRule="auto"/>
      <w:ind/>
    </w:pPr>
    <w:rPr>
      <w:sz w:val="20"/>
      <w:szCs w:val="20"/>
    </w:rPr>
  </w:style>
  <w:style w:type="character" w:styleId="909">
    <w:name w:val="Endnote Text Char"/>
    <w:basedOn w:val="875"/>
    <w:link w:val="908"/>
    <w:uiPriority w:val="99"/>
    <w:semiHidden/>
    <w:pPr>
      <w:pBdr/>
      <w:spacing/>
      <w:ind/>
    </w:pPr>
    <w:rPr>
      <w:sz w:val="20"/>
      <w:szCs w:val="20"/>
    </w:rPr>
  </w:style>
  <w:style w:type="character" w:styleId="910">
    <w:name w:val="Hyperlink"/>
    <w:basedOn w:val="875"/>
    <w:uiPriority w:val="99"/>
    <w:unhideWhenUsed/>
    <w:pPr>
      <w:pBdr/>
      <w:spacing/>
      <w:ind/>
    </w:pPr>
    <w:rPr>
      <w:color w:val="0563c1" w:themeColor="hyperlink"/>
      <w:u w:val="single"/>
    </w:rPr>
  </w:style>
  <w:style w:type="character" w:styleId="911">
    <w:name w:val="FollowedHyperlink"/>
    <w:basedOn w:val="875"/>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875"/>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widowControl w:val="true"/>
      <w:pBdr/>
      <w:bidi w:val="false"/>
      <w:spacing w:after="0" w:before="0"/>
      <w:ind/>
      <w:jc w:val="left"/>
    </w:pPr>
    <w:rPr>
      <w:rFonts w:ascii="Liberation Serif" w:hAnsi="Liberation Serif" w:eastAsia="Noto Serif CJK SC" w:cs="Noto Sans Devanagari"/>
      <w:color w:val="auto"/>
      <w:sz w:val="24"/>
      <w:szCs w:val="24"/>
      <w:lang w:val="en-GB" w:eastAsia="zh-CN" w:bidi="hi-IN"/>
    </w:rPr>
  </w:style>
  <w:style w:type="character" w:styleId="925">
    <w:name w:val="Footnote Characters"/>
    <w:qFormat/>
    <w:pPr>
      <w:pBdr/>
      <w:spacing/>
      <w:ind/>
    </w:pPr>
    <w:rPr>
      <w:vertAlign w:val="superscript"/>
    </w:rPr>
  </w:style>
  <w:style w:type="character" w:styleId="926">
    <w:name w:val="footnote reference"/>
    <w:pPr>
      <w:pBdr/>
      <w:spacing/>
      <w:ind/>
    </w:pPr>
    <w:rPr>
      <w:vertAlign w:val="superscript"/>
    </w:rPr>
  </w:style>
  <w:style w:type="character" w:styleId="927">
    <w:name w:val="Endnote Characters"/>
    <w:qFormat/>
    <w:pPr>
      <w:pBdr/>
      <w:spacing/>
      <w:ind/>
    </w:pPr>
  </w:style>
  <w:style w:type="character" w:styleId="928">
    <w:name w:val="endnote reference"/>
    <w:pPr>
      <w:pBdr/>
      <w:spacing/>
      <w:ind/>
    </w:pPr>
    <w:rPr>
      <w:vertAlign w:val="superscript"/>
    </w:rPr>
  </w:style>
  <w:style w:type="paragraph" w:styleId="929">
    <w:name w:val="Heading"/>
    <w:basedOn w:val="924"/>
    <w:next w:val="930"/>
    <w:qFormat/>
    <w:pPr>
      <w:keepNext w:val="true"/>
      <w:pBdr/>
      <w:spacing w:after="120" w:before="240"/>
      <w:ind/>
    </w:pPr>
    <w:rPr>
      <w:rFonts w:ascii="Liberation Sans" w:hAnsi="Liberation Sans" w:eastAsia="Noto Sans CJK SC" w:cs="Noto Sans Devanagari"/>
      <w:sz w:val="28"/>
      <w:szCs w:val="28"/>
    </w:rPr>
  </w:style>
  <w:style w:type="paragraph" w:styleId="930">
    <w:name w:val="Body Text"/>
    <w:basedOn w:val="924"/>
    <w:pPr>
      <w:pBdr/>
      <w:spacing w:after="140" w:before="0" w:line="276" w:lineRule="auto"/>
      <w:ind/>
    </w:pPr>
  </w:style>
  <w:style w:type="paragraph" w:styleId="931">
    <w:name w:val="List"/>
    <w:basedOn w:val="930"/>
    <w:pPr>
      <w:pBdr/>
      <w:spacing/>
      <w:ind/>
    </w:pPr>
    <w:rPr>
      <w:rFonts w:cs="Noto Sans Devanagari"/>
    </w:rPr>
  </w:style>
  <w:style w:type="paragraph" w:styleId="932">
    <w:name w:val="Caption"/>
    <w:basedOn w:val="924"/>
    <w:qFormat/>
    <w:pPr>
      <w:suppressLineNumbers w:val="true"/>
      <w:pBdr/>
      <w:spacing w:after="120" w:before="120"/>
      <w:ind/>
    </w:pPr>
    <w:rPr>
      <w:rFonts w:cs="Noto Sans Devanagari"/>
      <w:i/>
      <w:iCs/>
      <w:sz w:val="24"/>
      <w:szCs w:val="24"/>
    </w:rPr>
  </w:style>
  <w:style w:type="paragraph" w:styleId="933">
    <w:name w:val="Index"/>
    <w:basedOn w:val="924"/>
    <w:qFormat/>
    <w:pPr>
      <w:suppressLineNumbers w:val="true"/>
      <w:pBdr/>
      <w:spacing/>
      <w:ind/>
    </w:pPr>
    <w:rPr>
      <w:rFonts w:cs="Noto Sans Devanagari"/>
    </w:rPr>
  </w:style>
  <w:style w:type="paragraph" w:styleId="934">
    <w:name w:val="footnote text"/>
    <w:basedOn w:val="924"/>
    <w:pPr>
      <w:suppressLineNumbers w:val="true"/>
      <w:pBdr/>
      <w:spacing/>
      <w:ind w:hanging="340" w:left="340"/>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en-GB</dc:language>
  <cp:revision>8</cp:revision>
  <dcterms:created xsi:type="dcterms:W3CDTF">2025-11-23T16:38:42Z</dcterms:created>
  <dcterms:modified xsi:type="dcterms:W3CDTF">2025-11-24T13:17:00Z</dcterms:modified>
</cp:coreProperties>
</file>