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America?(post 1950)</w:t>
      </w:r>
    </w:p>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r>
    </w:p>
    <w:p>
      <w:pPr>
        <w:pStyle w:val="Normal"/>
        <w:spacing w:lineRule="auto" w:line="480"/>
        <w:jc w:val="center"/>
        <w:rPr>
          <w:rFonts w:ascii="Times New Roman" w:hAnsi="Times New Roman" w:eastAsia="Times New Roman" w:cs="Times New Roman"/>
          <w:b w:val="false"/>
          <w:bCs w:val="false"/>
          <w:sz w:val="32"/>
          <w:szCs w:val="32"/>
          <w:u w:val="none"/>
          <w:lang w:val="en-GB"/>
        </w:rPr>
      </w:pPr>
      <w:r>
        <w:rPr>
          <w:rFonts w:eastAsia="Times New Roman" w:cs="Times New Roman" w:ascii="Times New Roman" w:hAnsi="Times New Roman"/>
          <w:b w:val="false"/>
          <w:bCs w:val="false"/>
          <w:sz w:val="32"/>
          <w:szCs w:val="32"/>
          <w:u w:val="none"/>
          <w:lang w:val="en-GB"/>
        </w:rPr>
        <w:t>Things need to go here</w:t>
      </w:r>
    </w:p>
    <w:p>
      <w:pPr>
        <w:pStyle w:val="Normal"/>
        <w:spacing w:lineRule="auto" w:line="480"/>
        <w:jc w:val="center"/>
        <w:rPr>
          <w:rFonts w:ascii="Times New Roman" w:hAnsi="Times New Roman" w:eastAsia="Times New Roman" w:cs="Times New Roman"/>
          <w:b w:val="false"/>
          <w:bCs w:val="false"/>
          <w:sz w:val="32"/>
          <w:szCs w:val="32"/>
          <w:u w:val="none"/>
          <w:lang w:val="en-GB"/>
        </w:rPr>
      </w:pPr>
      <w:r>
        <w:rPr>
          <w:rFonts w:eastAsia="Times New Roman" w:cs="Times New Roman" w:ascii="Times New Roman" w:hAnsi="Times New Roman"/>
          <w:b w:val="false"/>
          <w:bCs w:val="false"/>
          <w:sz w:val="32"/>
          <w:szCs w:val="32"/>
          <w:u w:val="none"/>
          <w:lang w:val="en-GB"/>
        </w:rPr>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before="0" w:after="20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Beyond the panics surrounding hooligans and gangs, towards the late twentieth century the idea emerged that a specific 'culture of poverty' was responsible for the rise in anti-social behaviour. In the British context, this cultural blame is most evident in the adoption of the term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user"/>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deeper it reveals that the driver of a lot of the later anti-social behaviour in the twentieth century was not a rejection of society’s values, but rather an over adherence to consumerist ideals. In a society where fashion became a status symbol which in a capitalist, consumerist environment creates an “insatiable desire”</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4"/>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for branded designs, where for young people not having the ‘right’ fashion was not merely an annoyance, it was shameful. Consequently the inability to participate in consumerism is made to feel like a “state of humiliation”</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5"/>
      </w:r>
      <w:r>
        <w:rPr>
          <w:rStyle w:val="FootnoteCharactersuser"/>
          <w:rFonts w:eastAsia="Times New Roman" w:cs="Times New Roman" w:ascii="Times New Roman" w:hAnsi="Times New Roman"/>
          <w:b w:val="false"/>
          <w:bCs w:val="false"/>
          <w:position w:val="0"/>
          <w:sz w:val="24"/>
          <w:szCs w:val="24"/>
          <w:u w:val="none"/>
          <w:vertAlign w:val="baseline"/>
          <w:lang w:val="en-GB"/>
        </w:rPr>
        <w:t>, a feeling which erupted in 2011 as “consumer riots”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6"/>
      </w:r>
      <w:r>
        <w:rPr>
          <w:rStyle w:val="FootnoteCharactersuser"/>
          <w:rFonts w:eastAsia="Times New Roman" w:cs="Times New Roman" w:ascii="Times New Roman" w:hAnsi="Times New Roman"/>
          <w:b w:val="false"/>
          <w:bCs w:val="false"/>
          <w:position w:val="0"/>
          <w:sz w:val="24"/>
          <w:szCs w:val="24"/>
          <w:u w:val="none"/>
          <w:vertAlign w:val="baseline"/>
          <w:lang w:val="en-GB"/>
        </w:rPr>
        <w:t>. These riots were far from a display of political display or an outbreak of hooligan culture, they were a reaction to the deep-set anti-social behaviour among young people surrounding fashion, but on a deeper level economic worth. The actions of the rioters, targeting high-end trainers and electronics, signalled that the rioters were illustrating a “deep commitment to the ideology of consumer capitalism”</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which they had been economically excluded. In the United States, the argument shifts from a focus on consumer envy to the labour market, yet the tendency to blame ‘culture’ remains the same. </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6</w:t>
    </w:r>
    <w:r>
      <w:rPr/>
      <w:fldChar w:fldCharType="end"/>
    </w:r>
    <w:r>
      <w:rPr/>
      <w:t xml:space="preserve"> </w:t>
    </w:r>
    <w:r>
      <w:rPr/>
      <w:t xml:space="preserve">/ </w:t>
    </w:r>
    <w:r>
      <w:rPr/>
      <w:fldChar w:fldCharType="begin"/>
    </w:r>
    <w:r>
      <w:rPr/>
      <w:instrText xml:space="preserve"> NUMPAGES </w:instrText>
    </w:r>
    <w:r>
      <w:rPr/>
      <w:fldChar w:fldCharType="separate"/>
    </w:r>
    <w:r>
      <w:rPr/>
      <w:t>6</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6</w:t>
    </w:r>
    <w:r>
      <w:rPr/>
      <w:fldChar w:fldCharType="end"/>
    </w:r>
    <w:r>
      <w:rPr/>
      <w:t xml:space="preserve"> </w:t>
    </w:r>
    <w:r>
      <w:rPr/>
      <w:t xml:space="preserve">/ </w:t>
    </w:r>
    <w:r>
      <w:rPr/>
      <w:fldChar w:fldCharType="begin"/>
    </w:r>
    <w:r>
      <w:rPr/>
      <w:instrText xml:space="preserve"> NUMPAGES </w:instrText>
    </w:r>
    <w:r>
      <w:rPr/>
      <w:fldChar w:fldCharType="separate"/>
    </w:r>
    <w:r>
      <w:rPr/>
      <w:t>6</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 w:id="24">
    <w:p>
      <w:pPr>
        <w:pStyle w:val="FootnoteText"/>
        <w:rPr/>
      </w:pPr>
      <w:r>
        <w:rPr>
          <w:rStyle w:val="FootnoteCharacters"/>
        </w:rPr>
        <w:footnoteRef/>
      </w:r>
      <w:r>
        <w:rPr/>
        <w:t xml:space="preserve"> </w:t>
      </w:r>
      <w:r>
        <w:rPr/>
        <w:t xml:space="preserve">Keith Hayward and Oliver Smith, ‘Crime and consumer culture’, in </w:t>
      </w:r>
      <w:r>
        <w:rPr>
          <w:i/>
          <w:iCs/>
        </w:rPr>
        <w:t>The Oxford Handbook of Criminology</w:t>
      </w:r>
      <w:r>
        <w:rPr>
          <w:i w:val="false"/>
          <w:iCs w:val="false"/>
        </w:rPr>
        <w:t>, ed. by Alison Liebling, Shadd Maruna and Lesley McAra, 7</w:t>
      </w:r>
      <w:r>
        <w:rPr>
          <w:i w:val="false"/>
          <w:iCs w:val="false"/>
          <w:vertAlign w:val="superscript"/>
        </w:rPr>
        <w:t>th</w:t>
      </w:r>
      <w:r>
        <w:rPr>
          <w:i w:val="false"/>
          <w:iCs w:val="false"/>
        </w:rPr>
        <w:t xml:space="preserve"> edn (Oxford: Oxford University Press, 2023), p. 551.</w:t>
      </w:r>
    </w:p>
  </w:footnote>
  <w:footnote w:id="25">
    <w:p>
      <w:pPr>
        <w:pStyle w:val="FootnoteText"/>
        <w:rPr/>
      </w:pPr>
      <w:r>
        <w:rPr>
          <w:rStyle w:val="FootnoteCharacters"/>
        </w:rPr>
        <w:footnoteRef/>
      </w:r>
      <w:r>
        <w:rPr/>
        <w:t xml:space="preserve"> </w:t>
      </w:r>
      <w:r>
        <w:rPr/>
        <w:t>Hayward, ‘Crime and consumer culture’, p. 548.</w:t>
      </w:r>
    </w:p>
  </w:footnote>
  <w:footnote w:id="26">
    <w:p>
      <w:pPr>
        <w:pStyle w:val="FootnoteText"/>
        <w:rPr/>
      </w:pPr>
      <w:r>
        <w:rPr>
          <w:rStyle w:val="FootnoteCharacters"/>
        </w:rPr>
        <w:footnoteRef/>
      </w:r>
      <w:r>
        <w:rPr/>
        <w:t xml:space="preserve"> </w:t>
      </w:r>
      <w:r>
        <w:rPr/>
        <w:t>Hayward, ‘Crime and consumer culture’, p. 554.</w:t>
      </w:r>
    </w:p>
  </w:footnote>
  <w:footnote w:id="27">
    <w:p>
      <w:pPr>
        <w:pStyle w:val="FootnoteText"/>
        <w:rPr/>
      </w:pPr>
      <w:r>
        <w:rPr>
          <w:rStyle w:val="FootnoteCharacters"/>
        </w:rPr>
        <w:footnoteRef/>
      </w:r>
      <w:r>
        <w:rPr/>
        <w:t>Hayward, ‘Crime and consumer culture’, p. 554.</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381</TotalTime>
  <Application>LibreOffice/25.8.4.2$Linux_X86_64 LibreOffice_project/580$Build-2</Application>
  <AppVersion>15.0000</AppVersion>
  <Pages>6</Pages>
  <Words>1926</Words>
  <Characters>10235</Characters>
  <CharactersWithSpaces>12160</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2026-01-21T17:59:27Z</dcterms:modified>
  <cp:revision>45</cp:revision>
  <dc:subject/>
  <dc:title/>
</cp:coreProperties>
</file>

<file path=docProps/custom.xml><?xml version="1.0" encoding="utf-8"?>
<Properties xmlns="http://schemas.openxmlformats.org/officeDocument/2006/custom-properties" xmlns:vt="http://schemas.openxmlformats.org/officeDocument/2006/docPropsVTypes"/>
</file>