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America?(post 1950)</w:t>
      </w:r>
    </w:p>
    <w:p>
      <w:pPr>
        <w:pStyle w:val="Normal"/>
        <w:spacing w:lineRule="auto" w:line="480"/>
        <w:jc w:val="center"/>
        <w:rPr>
          <w:rFonts w:ascii="Times New Roman" w:hAnsi="Times New Roman" w:eastAsia="Times New Roman" w:cs="Times New Roman"/>
          <w:b/>
          <w:bCs/>
          <w:sz w:val="32"/>
          <w:szCs w:val="32"/>
          <w:highlight w:val="none"/>
          <w:u w:val="single"/>
          <w:shd w:fill="FFFF00" w:val="clear"/>
          <w:lang w:val="en-GB"/>
        </w:rPr>
      </w:pPr>
      <w:r>
        <w:rPr>
          <w:rFonts w:eastAsia="Times New Roman" w:cs="Times New Roman" w:ascii="Times New Roman" w:hAnsi="Times New Roman"/>
          <w:b/>
          <w:bCs/>
          <w:sz w:val="32"/>
          <w:szCs w:val="32"/>
          <w:u w:val="singl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 xml:space="preserve">One of the most influential cultural explanations for rising disorder focused on cinema and mass media, which were widely accused of corrupting youth and encouraging violence. </w:t>
      </w:r>
      <w:r>
        <w:rPr>
          <w:rFonts w:eastAsia="Times New Roman" w:cs="Times New Roman" w:ascii="Times New Roman" w:hAnsi="Times New Roman"/>
          <w:b w:val="false"/>
          <w:bCs w:val="false"/>
          <w:sz w:val="24"/>
          <w:szCs w:val="24"/>
          <w:u w:val="none"/>
          <w:lang w:val="en-GB" w:bidi="en-US"/>
        </w:rPr>
        <w:t>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A second major site of cultural blame centred on youth street cultures, particularly hooliganism and gangs, which were portrayed as self-generating sources of violence in both Britain and the United States.</w:t>
      </w:r>
      <w:r>
        <w:rPr>
          <w:rFonts w:eastAsia="Times New Roman" w:cs="Times New Roman" w:ascii="Times New Roman" w:hAnsi="Times New Roman"/>
          <w:b w:val="false"/>
          <w:bCs w:val="false"/>
          <w:sz w:val="24"/>
          <w:szCs w:val="24"/>
          <w:u w:val="none"/>
          <w:lang w:val="en-GB"/>
        </w:rPr>
        <w:t xml:space="preserve">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Examining the UK experience more closely, reveals that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As with the earlier mentioned media panics, these responses often reflected heightened fear and overt focus rather than a demonstratable increase in violence itself.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before="0" w:after="20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A final cultural explanation for rising anti-social behaviour emerged through the notion of an ‘underclass’, which framed poverty and disorder as products of flawed values rather than structural exclusion. In the British context, this cultural blame is most evident in the adoption of the term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Consequently the inability to participate in consumerism is made to feel like a “state of humiliation”</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user"/>
          <w:rFonts w:eastAsia="Times New Roman" w:cs="Times New Roman" w:ascii="Times New Roman" w:hAnsi="Times New Roman"/>
          <w:b w:val="false"/>
          <w:bCs w:val="false"/>
          <w:position w:val="0"/>
          <w:sz w:val="24"/>
          <w:szCs w:val="24"/>
          <w:u w:val="none"/>
          <w:vertAlign w:val="baseline"/>
          <w:lang w:val="en-GB"/>
        </w:rPr>
        <w:t>, a feeling which erupted in 2011 as “consumer riots”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6"/>
      </w:r>
      <w:r>
        <w:rPr>
          <w:rStyle w:val="FootnoteCharactersuser"/>
          <w:rFonts w:eastAsia="Times New Roman" w:cs="Times New Roman" w:ascii="Times New Roman" w:hAnsi="Times New Roman"/>
          <w:b w:val="false"/>
          <w:bCs w:val="false"/>
          <w:position w:val="0"/>
          <w:sz w:val="24"/>
          <w:szCs w:val="24"/>
          <w:u w:val="none"/>
          <w:vertAlign w:val="baseline"/>
          <w:lang w:val="en-GB"/>
        </w:rPr>
        <w:t>. These riots were far from a display of political display or an outbreak of hooligan culture, they were a reaction to the deep-set anti-social behaviour among young people surrounding fashion, but on a deeper level economic worth. The actions of the rioters, targeting high-end trainers and electronics, signalled that the rioters were illustrating a “deep commitment to the ideology of consumer capitalism”</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which they had been economically excluded. In the United States, the argument shifts from a focus on consumer envy to the labour market, yet the tendency to blame ‘culture’ remains the same. Here, it is commonly argued in political discourse that the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exists because of moral failure. The popular argument among social historians such as Murray frame poverty as “rational choices [where] […] the poor were encouraged to behave in ways that were advantageous in the short term but destructive in the long term”</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9"/>
      </w:r>
      <w:r>
        <w:rPr>
          <w:rStyle w:val="FootnoteCharactersuser"/>
          <w:rFonts w:eastAsia="Times New Roman" w:cs="Times New Roman" w:ascii="Times New Roman" w:hAnsi="Times New Roman"/>
          <w:b w:val="false"/>
          <w:bCs w:val="false"/>
          <w:position w:val="0"/>
          <w:sz w:val="24"/>
          <w:szCs w:val="24"/>
          <w:u w:val="none"/>
          <w:vertAlign w:val="baseline"/>
          <w:lang w:val="en-GB"/>
        </w:rPr>
        <w:t>. This suggests that the poorer in society actively make the decision to rely on welfare rather than to work, effectively arguing that a culture of dependency is the root cause of their poverty. This serves as a powerful narrative “through which to view the poor – as undeserving, deviant [and], dangerous”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30"/>
      </w:r>
      <w:r>
        <w:rPr>
          <w:rStyle w:val="FootnoteCharactersuser"/>
          <w:rFonts w:eastAsia="Times New Roman" w:cs="Times New Roman" w:ascii="Times New Roman" w:hAnsi="Times New Roman"/>
          <w:b w:val="false"/>
          <w:bCs w:val="false"/>
          <w:position w:val="0"/>
          <w:sz w:val="24"/>
          <w:szCs w:val="24"/>
          <w:u w:val="none"/>
          <w:vertAlign w:val="baseline"/>
          <w:lang w:val="en-GB"/>
        </w:rPr>
        <w:t>, allowing the state to justify cutting support systems. However the collapse of inner city work is not due to laziness, but due to a “sharply stratified labour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3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that emerged in the late twentieth century. In this new economy, secure jobs for low-skilled workers effectively vanished. Therefore the rise in crime and poverty is not the result of a bad culture, but the consequence of an economic reality where whole sectors of the population have been “systemically excluded”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32"/>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the workforce. Thus, what the state labels as a cultural refusal to work is, in reality, a structural inability to access the legitimate economy. Crucially, this exclusion does not remove the pressure to consume. In a society where status is defined by brand ownership and fashion, those locked out of the labour market are left in a bind. They possess the desire for these cultural symbols but lack the legal means to acquire them. Therefore, the crime that follows is often a desperate attempt to bridge the gap between their economic exclusion and their consumerist aspirations.</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7</w:t>
    </w:r>
    <w:r>
      <w:rPr/>
      <w:fldChar w:fldCharType="end"/>
    </w:r>
    <w:r>
      <w:rPr/>
      <w:t xml:space="preserve"> </w:t>
    </w:r>
    <w:r>
      <w:rPr/>
      <w:t xml:space="preserve">/ </w:t>
    </w:r>
    <w:r>
      <w:rPr/>
      <w:fldChar w:fldCharType="begin"/>
    </w:r>
    <w:r>
      <w:rPr/>
      <w:instrText xml:space="preserve"> NUMPAGES </w:instrText>
    </w:r>
    <w:r>
      <w:rPr/>
      <w:fldChar w:fldCharType="separate"/>
    </w:r>
    <w:r>
      <w:rPr/>
      <w:t>7</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7</w:t>
    </w:r>
    <w:r>
      <w:rPr/>
      <w:fldChar w:fldCharType="end"/>
    </w:r>
    <w:r>
      <w:rPr/>
      <w:t xml:space="preserve"> </w:t>
    </w:r>
    <w:r>
      <w:rPr/>
      <w:t xml:space="preserve">/ </w:t>
    </w:r>
    <w:r>
      <w:rPr/>
      <w:fldChar w:fldCharType="begin"/>
    </w:r>
    <w:r>
      <w:rPr/>
      <w:instrText xml:space="preserve"> NUMPAGES </w:instrText>
    </w:r>
    <w:r>
      <w:rPr/>
      <w:fldChar w:fldCharType="separate"/>
    </w:r>
    <w:r>
      <w:rPr/>
      <w:t>7</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 w:id="26">
    <w:p>
      <w:pPr>
        <w:pStyle w:val="FootnoteText"/>
        <w:rPr/>
      </w:pPr>
      <w:r>
        <w:rPr>
          <w:rStyle w:val="FootnoteCharacters"/>
        </w:rPr>
        <w:footnoteRef/>
      </w:r>
      <w:r>
        <w:rPr/>
        <w:t xml:space="preserve"> </w:t>
      </w:r>
      <w:r>
        <w:rPr/>
        <w:t>Hayward, ‘Crime and consumer culture’, p. 554.</w:t>
      </w:r>
    </w:p>
  </w:footnote>
  <w:footnote w:id="27">
    <w:p>
      <w:pPr>
        <w:pStyle w:val="FootnoteText"/>
        <w:rPr/>
      </w:pPr>
      <w:r>
        <w:rPr>
          <w:rStyle w:val="FootnoteCharacters"/>
        </w:rPr>
        <w:footnoteRef/>
      </w:r>
      <w:r>
        <w:rPr/>
        <w:t>Hayward, ‘Crime and consumer culture’, p. 554.</w:t>
      </w:r>
    </w:p>
  </w:footnote>
  <w:footnote w:id="28">
    <w:p>
      <w:pPr>
        <w:pStyle w:val="FootnoteText"/>
        <w:rPr/>
      </w:pPr>
      <w:r>
        <w:rPr>
          <w:rStyle w:val="FootnoteCharacters"/>
        </w:rPr>
        <w:footnoteRef/>
      </w:r>
      <w:r>
        <w:rPr/>
        <w:t xml:space="preserve"> </w:t>
      </w:r>
      <w:r>
        <w:rPr/>
        <w:t xml:space="preserve">Welshman, </w:t>
      </w:r>
      <w:r>
        <w:rPr>
          <w:i/>
          <w:iCs/>
        </w:rPr>
        <w:t>Underclass</w:t>
      </w:r>
      <w:r>
        <w:rPr>
          <w:i w:val="false"/>
          <w:iCs w:val="false"/>
        </w:rPr>
        <w:t>, p. 141.</w:t>
      </w:r>
    </w:p>
  </w:footnote>
  <w:footnote w:id="29">
    <w:p>
      <w:pPr>
        <w:pStyle w:val="FootnoteText"/>
        <w:rPr/>
      </w:pPr>
      <w:r>
        <w:rPr>
          <w:rStyle w:val="FootnoteCharacters"/>
        </w:rPr>
        <w:footnoteRef/>
      </w:r>
      <w:r>
        <w:rPr/>
        <w:t xml:space="preserve">Welshman, </w:t>
      </w:r>
      <w:r>
        <w:rPr>
          <w:i/>
          <w:iCs/>
        </w:rPr>
        <w:t>Underclass</w:t>
      </w:r>
      <w:r>
        <w:rPr>
          <w:i w:val="false"/>
          <w:iCs w:val="false"/>
        </w:rPr>
        <w:t xml:space="preserve">, p. 134-136. </w:t>
      </w:r>
    </w:p>
  </w:footnote>
  <w:footnote w:id="30">
    <w:p>
      <w:pPr>
        <w:pStyle w:val="FootnoteText"/>
        <w:rPr/>
      </w:pPr>
      <w:r>
        <w:rPr>
          <w:rStyle w:val="FootnoteCharacters"/>
        </w:rPr>
        <w:footnoteRef/>
      </w:r>
      <w:r>
        <w:rPr/>
        <w:t xml:space="preserve"> </w:t>
      </w:r>
      <w:r>
        <w:rPr/>
        <w:t xml:space="preserve">David Garland, </w:t>
      </w:r>
      <w:r>
        <w:rPr>
          <w:i/>
          <w:iCs/>
        </w:rPr>
        <w:t>The Culture of Control: Crime and Social Order in Contemporary Society</w:t>
      </w:r>
      <w:r>
        <w:rPr>
          <w:i w:val="false"/>
          <w:iCs w:val="false"/>
        </w:rPr>
        <w:t xml:space="preserve"> (Oxford: Oxford University Press, 2001), p. 102.</w:t>
      </w:r>
    </w:p>
  </w:footnote>
  <w:footnote w:id="31">
    <w:p>
      <w:pPr>
        <w:pStyle w:val="FootnoteText"/>
        <w:rPr/>
      </w:pPr>
      <w:r>
        <w:rPr>
          <w:rStyle w:val="FootnoteCharacters"/>
        </w:rPr>
        <w:footnoteRef/>
      </w:r>
      <w:r>
        <w:rPr/>
        <w:t xml:space="preserve"> </w:t>
      </w:r>
      <w:r>
        <w:rPr/>
        <w:t xml:space="preserve">Garland, </w:t>
      </w:r>
      <w:r>
        <w:rPr>
          <w:i/>
          <w:iCs/>
        </w:rPr>
        <w:t>The Culture of Control</w:t>
      </w:r>
      <w:r>
        <w:rPr>
          <w:i w:val="false"/>
          <w:iCs w:val="false"/>
        </w:rPr>
        <w:t>, p. 82.</w:t>
      </w:r>
    </w:p>
  </w:footnote>
  <w:footnote w:id="32">
    <w:p>
      <w:pPr>
        <w:pStyle w:val="FootnoteText"/>
        <w:rPr/>
      </w:pPr>
      <w:r>
        <w:rPr>
          <w:rStyle w:val="FootnoteCharacters"/>
        </w:rPr>
        <w:footnoteRef/>
      </w:r>
      <w:r>
        <w:rPr/>
        <w:t xml:space="preserve"> </w:t>
      </w:r>
      <w:r>
        <w:rPr/>
        <w:t xml:space="preserve">Garland, </w:t>
      </w:r>
      <w:r>
        <w:rPr>
          <w:i/>
          <w:iCs/>
        </w:rPr>
        <w:t xml:space="preserve">The Culture of Control, </w:t>
      </w:r>
      <w:r>
        <w:rPr>
          <w:i w:val="false"/>
          <w:iCs w:val="false"/>
        </w:rPr>
        <w:t>p. 82.</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471</TotalTime>
  <Application>LibreOffice/25.8.4.2$Linux_X86_64 LibreOffice_project/580$Build-2</Application>
  <AppVersion>15.0000</AppVersion>
  <Pages>7</Pages>
  <Words>2275</Words>
  <Characters>12141</Characters>
  <CharactersWithSpaces>14416</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2026-01-21T19:29:46Z</dcterms:modified>
  <cp:revision>63</cp:revision>
  <dc:subject/>
  <dc:title/>
</cp:coreProperties>
</file>

<file path=docProps/custom.xml><?xml version="1.0" encoding="utf-8"?>
<Properties xmlns="http://schemas.openxmlformats.org/officeDocument/2006/custom-properties" xmlns:vt="http://schemas.openxmlformats.org/officeDocument/2006/docPropsVTypes"/>
</file>