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(post-1950)</w:t>
      </w:r>
    </w:p>
    <w:p>
      <w:pPr>
        <w:pStyle w:val="Normal"/>
        <w:spacing w:lineRule="auto" w:line="240"/>
        <w:jc w:val="both"/>
        <w:rPr>
          <w:rFonts w:ascii="Times New Roman" w:hAnsi="Times New Roman" w:eastAsia="Times New Roman" w:cs="Times New Roman"/>
          <w:b w:val="false"/>
          <w:bCs w:val="false"/>
          <w:sz w:val="24"/>
          <w:szCs w:val="24"/>
          <w:highlight w:val="none"/>
          <w:u w:val="single"/>
          <w:shd w:fill="auto" w:val="clear"/>
          <w:lang w:val="en-GB"/>
        </w:rPr>
      </w:pPr>
      <w:r>
        <w:rPr>
          <w:rFonts w:eastAsia="Times New Roman" w:cs="Times New Roman" w:ascii="Times New Roman" w:hAnsi="Times New Roman"/>
          <w:b w:val="false"/>
          <w:bCs w:val="false"/>
          <w:sz w:val="24"/>
          <w:szCs w:val="24"/>
          <w:u w:val="single"/>
          <w:shd w:fill="auto" w:val="clear"/>
          <w:lang w:val="en-GB"/>
        </w:rPr>
        <w:t>Feedback worked on:</w:t>
      </w:r>
    </w:p>
    <w:p>
      <w:pPr>
        <w:pStyle w:val="Normal"/>
        <w:spacing w:lineRule="auto" w:line="240"/>
        <w:jc w:val="both"/>
        <w:rPr>
          <w:rFonts w:ascii="Times New Roman" w:hAnsi="Times New Roman" w:eastAsia="Times New Roman" w:cs="Times New Roman"/>
          <w:b w:val="false"/>
          <w:bCs w:val="false"/>
          <w:sz w:val="24"/>
          <w:szCs w:val="24"/>
          <w:highlight w:val="none"/>
          <w:u w:val="none"/>
          <w:shd w:fill="auto" w:val="clear"/>
          <w:lang w:val="en-GB"/>
        </w:rPr>
      </w:pPr>
      <w:r>
        <w:rPr>
          <w:rFonts w:eastAsia="Times New Roman" w:cs="Times New Roman" w:ascii="Times New Roman" w:hAnsi="Times New Roman"/>
          <w:b w:val="false"/>
          <w:bCs w:val="false"/>
          <w:sz w:val="24"/>
          <w:szCs w:val="24"/>
          <w:u w:val="none"/>
          <w:shd w:fill="auto" w:val="clear"/>
          <w:lang w:val="en-GB"/>
        </w:rPr>
        <w:t>- Proof read and read aloud to go over flow and punctuation</w:t>
      </w:r>
    </w:p>
    <w:p>
      <w:pPr>
        <w:pStyle w:val="Normal"/>
        <w:spacing w:lineRule="auto" w:line="240"/>
        <w:jc w:val="both"/>
        <w:rPr>
          <w:rFonts w:ascii="Times New Roman" w:hAnsi="Times New Roman" w:eastAsia="Times New Roman" w:cs="Times New Roman"/>
          <w:b w:val="false"/>
          <w:bCs w:val="false"/>
          <w:sz w:val="24"/>
          <w:szCs w:val="24"/>
          <w:highlight w:val="none"/>
          <w:u w:val="none"/>
          <w:shd w:fill="auto" w:val="clear"/>
          <w:lang w:val="en-GB"/>
        </w:rPr>
      </w:pPr>
      <w:r>
        <w:rPr>
          <w:rFonts w:eastAsia="Times New Roman" w:cs="Times New Roman" w:ascii="Times New Roman" w:hAnsi="Times New Roman"/>
          <w:b w:val="false"/>
          <w:bCs w:val="false"/>
          <w:sz w:val="24"/>
          <w:szCs w:val="24"/>
          <w:u w:val="none"/>
          <w:shd w:fill="auto" w:val="clear"/>
          <w:lang w:val="en-GB"/>
        </w:rPr>
        <w:t>- Less repeti</w:t>
      </w:r>
      <w:r>
        <w:rPr>
          <w:rFonts w:eastAsia="Times New Roman" w:cs="Times New Roman" w:ascii="Times New Roman" w:hAnsi="Times New Roman"/>
          <w:b w:val="false"/>
          <w:bCs w:val="false"/>
          <w:sz w:val="24"/>
          <w:szCs w:val="24"/>
          <w:u w:val="none"/>
          <w:shd w:fill="auto" w:val="clear"/>
          <w:lang w:val="en-GB"/>
        </w:rPr>
        <w:t>t</w:t>
      </w:r>
      <w:r>
        <w:rPr>
          <w:rFonts w:eastAsia="Times New Roman" w:cs="Times New Roman" w:ascii="Times New Roman" w:hAnsi="Times New Roman"/>
          <w:b w:val="false"/>
          <w:bCs w:val="false"/>
          <w:sz w:val="24"/>
          <w:szCs w:val="24"/>
          <w:u w:val="none"/>
          <w:shd w:fill="auto" w:val="clear"/>
          <w:lang w:val="en-GB"/>
        </w:rPr>
        <w:t>ion</w:t>
      </w:r>
    </w:p>
    <w:p>
      <w:pPr>
        <w:pStyle w:val="Normal"/>
        <w:spacing w:lineRule="auto" w:line="240"/>
        <w:jc w:val="both"/>
        <w:rPr>
          <w:rFonts w:ascii="Times New Roman" w:hAnsi="Times New Roman" w:eastAsia="Times New Roman" w:cs="Times New Roman"/>
          <w:b w:val="false"/>
          <w:bCs w:val="false"/>
          <w:sz w:val="24"/>
          <w:szCs w:val="24"/>
          <w:highlight w:val="none"/>
          <w:u w:val="none"/>
          <w:shd w:fill="auto" w:val="clear"/>
          <w:lang w:val="en-GB"/>
        </w:rPr>
      </w:pPr>
      <w:r>
        <w:rPr>
          <w:rFonts w:eastAsia="Times New Roman" w:cs="Times New Roman" w:ascii="Times New Roman" w:hAnsi="Times New Roman"/>
          <w:b w:val="false"/>
          <w:bCs w:val="false"/>
          <w:sz w:val="24"/>
          <w:szCs w:val="24"/>
          <w:u w:val="none"/>
          <w:shd w:fill="auto" w:val="clear"/>
          <w:lang w:val="en-GB"/>
        </w:rPr>
        <w:t>- More historiography engaged with to cover all areas for the US &amp; UK</w:t>
      </w:r>
    </w:p>
    <w:p>
      <w:pPr>
        <w:pStyle w:val="Normal"/>
        <w:spacing w:lineRule="auto" w:line="480"/>
        <w:jc w:val="both"/>
        <w:rPr>
          <w:rFonts w:ascii="Times New Roman" w:hAnsi="Times New Roman" w:eastAsia="Times New Roman" w:cs="Times New Roman"/>
          <w:b w:val="false"/>
          <w:bCs w:val="false"/>
          <w:sz w:val="24"/>
          <w:szCs w:val="24"/>
          <w:u w:val="none"/>
          <w:shd w:fill="FFFF00" w:val="clear"/>
          <w:lang w:val="en-GB"/>
        </w:rPr>
      </w:pPr>
      <w:r>
        <w:rPr>
          <w:rFonts w:eastAsia="Times New Roman" w:cs="Times New Roman" w:ascii="Times New Roman" w:hAnsi="Times New Roman"/>
          <w:b w:val="false"/>
          <w:bCs w:val="false"/>
          <w:sz w:val="24"/>
          <w:szCs w:val="24"/>
          <w:u w:val="none"/>
          <w:shd w:fill="auto"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w:t>
      </w:r>
      <w:r>
        <w:rPr>
          <w:rFonts w:eastAsia="Times New Roman" w:cs="Times New Roman" w:ascii="Times New Roman" w:hAnsi="Times New Roman"/>
          <w:b w:val="false"/>
          <w:bCs w:val="false"/>
          <w:sz w:val="24"/>
          <w:szCs w:val="24"/>
          <w:u w:val="none"/>
          <w:lang w:val="en-GB"/>
        </w:rPr>
        <w:t xml:space="preserve"> </w:t>
      </w:r>
      <w:r>
        <w:rPr>
          <w:rFonts w:ascii="Times New Roman" w:hAnsi="Times New Roman"/>
          <w:sz w:val="24"/>
          <w:szCs w:val="24"/>
        </w:rPr>
        <w:t>A more nuanced analysis instead highlights the role of structural factors such as economic exclusion, inequality, and state neglect as the true drivers of disorder.</w:t>
      </w:r>
      <w:r>
        <w:rPr>
          <w:rFonts w:eastAsia="Times New Roman" w:cs="Times New Roman" w:ascii="Times New Roman" w:hAnsi="Times New Roman"/>
          <w:b w:val="false"/>
          <w:bCs w:val="false"/>
          <w:sz w:val="24"/>
          <w:szCs w:val="24"/>
          <w:u w:val="none"/>
          <w:lang w:val="en-GB"/>
        </w:rPr>
        <w:t xml:space="preserve">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w:t>
      </w:r>
      <w:r>
        <w:rPr>
          <w:rFonts w:ascii="Times New Roman" w:hAnsi="Times New Roman"/>
          <w:sz w:val="24"/>
          <w:szCs w:val="24"/>
        </w:rPr>
        <w:t>An analysis of cinema, youth street culture, and fashion leads to the conclusion</w:t>
      </w:r>
      <w:r>
        <w:rPr>
          <w:rFonts w:eastAsia="Times New Roman" w:cs="Times New Roman" w:ascii="Times New Roman" w:hAnsi="Times New Roman"/>
          <w:b w:val="false"/>
          <w:bCs w:val="false"/>
          <w:sz w:val="24"/>
          <w:szCs w:val="24"/>
          <w:u w:val="none"/>
          <w:lang w:val="en-GB"/>
        </w:rPr>
        <w:t xml:space="preserve"> </w:t>
      </w:r>
      <w:r>
        <w:rPr>
          <w:rFonts w:eastAsia="Times New Roman" w:cs="Times New Roman" w:ascii="Times New Roman" w:hAnsi="Times New Roman"/>
          <w:b w:val="false"/>
          <w:bCs w:val="false"/>
          <w:sz w:val="24"/>
          <w:szCs w:val="24"/>
          <w:u w:val="none"/>
          <w:lang w:val="en-GB"/>
        </w:rPr>
        <w:t xml:space="preserve">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 xml:space="preserve">One of the most influential cultural explanations for rising disorder focused on cinema and mass media, which were widely accused of corrupting youth and encouraging violence. Historically, </w:t>
      </w:r>
      <w:r>
        <w:rPr>
          <w:rFonts w:eastAsia="Times New Roman" w:cs="Times New Roman" w:ascii="Times New Roman" w:hAnsi="Times New Roman"/>
          <w:b w:val="false"/>
          <w:bCs w:val="false"/>
          <w:sz w:val="24"/>
          <w:szCs w:val="24"/>
          <w:u w:val="none"/>
          <w:lang w:val="en-GB" w:bidi="en-US"/>
        </w:rPr>
        <w:t>commentators</w:t>
      </w:r>
      <w:r>
        <w:rPr>
          <w:rFonts w:eastAsia="Times New Roman" w:cs="Times New Roman" w:ascii="Times New Roman" w:hAnsi="Times New Roman"/>
          <w:b w:val="false"/>
          <w:bCs w:val="false"/>
          <w:sz w:val="24"/>
          <w:szCs w:val="24"/>
          <w:u w:val="none"/>
          <w:lang w:val="en-GB" w:bidi="en-US"/>
        </w:rPr>
        <w:t xml:space="preserv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Fonts w:eastAsia="Times New Roman" w:cs="Times New Roman" w:ascii="Times New Roman" w:hAnsi="Times New Roman"/>
          <w:b w:val="false"/>
          <w:bCs w:val="false"/>
          <w:sz w:val="24"/>
          <w:szCs w:val="24"/>
          <w:u w:val="no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The fear and opposition were often less about the content of the films but more about the </w:t>
      </w:r>
      <w:r>
        <w:rPr>
          <w:rStyle w:val="FootnoteCharactersuser"/>
          <w:rFonts w:eastAsia="Times New Roman" w:cs="Times New Roman" w:ascii="Times New Roman" w:hAnsi="Times New Roman"/>
          <w:b w:val="false"/>
          <w:bCs w:val="false"/>
          <w:position w:val="0"/>
          <w:sz w:val="24"/>
          <w:szCs w:val="24"/>
          <w:u w:val="none"/>
          <w:vertAlign w:val="baseline"/>
          <w:lang w:val="en-GB"/>
        </w:rPr>
        <w:t>social composition of audiences</w:t>
      </w:r>
      <w:r>
        <w:rPr>
          <w:rStyle w:val="FootnoteCharactersuser"/>
          <w:rFonts w:eastAsia="Times New Roman" w:cs="Times New Roman" w:ascii="Times New Roman" w:hAnsi="Times New Roman"/>
          <w:b w:val="false"/>
          <w:bCs w:val="false"/>
          <w:position w:val="0"/>
          <w:sz w:val="24"/>
          <w:szCs w:val="24"/>
          <w:u w:val="none"/>
          <w:vertAlign w:val="baseline"/>
          <w:lang w:val="en-GB"/>
        </w:rPr>
        <w:t>,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 xml:space="preserve">This functions as a mechanism of social control to divert attention away from the true causes of criminal behaviour. </w:t>
      </w:r>
      <w:r>
        <w:rPr>
          <w:rFonts w:ascii="Times New Roman" w:hAnsi="Times New Roman"/>
          <w:sz w:val="24"/>
          <w:szCs w:val="24"/>
        </w:rPr>
        <w:t>By repeatedly circulating images of dangerous youth and their consumption of American-made entertainment, the media positioned these groups as convenient scapegoats.</w:t>
      </w:r>
      <w:r>
        <w:rPr>
          <w:rFonts w:eastAsia="Times New Roman" w:cs="Times New Roman" w:ascii="Times New Roman" w:hAnsi="Times New Roman"/>
          <w:b w:val="false"/>
          <w:bCs w:val="false"/>
          <w:sz w:val="24"/>
          <w:szCs w:val="24"/>
          <w:u w:val="none"/>
          <w:lang w:val="en-GB"/>
        </w:rPr>
        <w:t xml:space="preserve"> </w:t>
      </w:r>
      <w:r>
        <w:rPr>
          <w:rFonts w:ascii="Times New Roman" w:hAnsi="Times New Roman"/>
          <w:sz w:val="24"/>
          <w:szCs w:val="24"/>
        </w:rPr>
        <w:t>This process refocuses public anxieties</w:t>
      </w:r>
      <w:r>
        <w:rPr>
          <w:rFonts w:eastAsia="Times New Roman" w:cs="Times New Roman" w:ascii="Times New Roman" w:hAnsi="Times New Roman"/>
          <w:b w:val="false"/>
          <w:bCs w:val="false"/>
          <w:sz w:val="24"/>
          <w:szCs w:val="24"/>
          <w:u w:val="none"/>
          <w:lang w:val="en-GB"/>
        </w:rPr>
        <w:t xml:space="preserve"> o</w:t>
      </w:r>
      <w:r>
        <w:rPr>
          <w:rFonts w:eastAsia="Times New Roman" w:cs="Times New Roman" w:ascii="Times New Roman" w:hAnsi="Times New Roman"/>
          <w:b w:val="false"/>
          <w:bCs w:val="false"/>
          <w:sz w:val="24"/>
          <w:szCs w:val="24"/>
          <w:u w:val="none"/>
          <w:lang w:val="en-GB"/>
        </w:rPr>
        <w:t xml:space="preserve">nto specific cultural consumers, thereby masking the reality of a failing economic system. Consequently there is a critical misconception where the public merge a rise in the reporting of crime with the actual rise in the incidence of crime. This </w:t>
      </w:r>
      <w:r>
        <w:rPr>
          <w:rFonts w:eastAsia="Times New Roman" w:cs="Times New Roman" w:ascii="Times New Roman" w:hAnsi="Times New Roman"/>
          <w:b w:val="false"/>
          <w:bCs w:val="false"/>
          <w:sz w:val="24"/>
          <w:szCs w:val="24"/>
          <w:u w:val="none"/>
          <w:lang w:val="en-GB"/>
        </w:rPr>
        <w:t>tendency</w:t>
      </w:r>
      <w:r>
        <w:rPr>
          <w:rFonts w:eastAsia="Times New Roman" w:cs="Times New Roman" w:ascii="Times New Roman" w:hAnsi="Times New Roman"/>
          <w:b w:val="false"/>
          <w:bCs w:val="false"/>
          <w:sz w:val="24"/>
          <w:szCs w:val="24"/>
          <w:u w:val="none"/>
          <w:lang w:val="en-GB"/>
        </w:rPr>
        <w:t xml:space="preserve">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 xml:space="preserve">A second major site of cultural blame centred on youth street cultures, particularly hooliganism and gangs, which were portrayed as self-generating sources of violence in both Britain and the United States. However, for each side of the Atlantic, they had different reactions and perspectives on the situation. </w:t>
      </w:r>
      <w:r>
        <w:rPr>
          <w:rFonts w:ascii="Times New Roman" w:hAnsi="Times New Roman"/>
          <w:sz w:val="24"/>
          <w:szCs w:val="24"/>
        </w:rPr>
        <w:t xml:space="preserve">In Britain, the hooligan was treated as a symbol of social decline and a means of diverting attention from deeper structural problems. In the United States, however, violence was not understood as ‘culture’ in the same way, but rather as a </w:t>
      </w:r>
      <w:r>
        <w:rPr>
          <w:rFonts w:eastAsia="Times New Roman" w:cs="Times New Roman" w:ascii="Times New Roman" w:hAnsi="Times New Roman"/>
          <w:b w:val="false"/>
          <w:bCs w:val="false"/>
          <w:sz w:val="24"/>
          <w:szCs w:val="24"/>
          <w:u w:val="none"/>
          <w:lang w:val="en-GB"/>
        </w:rPr>
        <w:t xml:space="preserve">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Examining the UK experience more closely, reveals that </w:t>
      </w:r>
      <w:r>
        <w:rPr>
          <w:rStyle w:val="FootnoteCharacters"/>
          <w:rFonts w:eastAsia="Times New Roman" w:cs="Times New Roman" w:ascii="Times New Roman" w:hAnsi="Times New Roman"/>
          <w:b w:val="false"/>
          <w:bCs w:val="false"/>
          <w:position w:val="0"/>
          <w:sz w:val="24"/>
          <w:szCs w:val="24"/>
          <w:u w:val="none"/>
          <w:vertAlign w:val="baseline"/>
          <w:lang w:val="en-GB"/>
        </w:rPr>
        <w:t>British society has repeatedly constructed new ‘folk devils’ to embody perceived social decline, resulting in what Cohen terms a “rapid osc</w:t>
      </w:r>
      <w:r>
        <w:rPr>
          <w:rStyle w:val="FootnoteCharacters"/>
          <w:rFonts w:eastAsia="Times New Roman" w:cs="Times New Roman" w:ascii="Times New Roman" w:hAnsi="Times New Roman"/>
          <w:b w:val="false"/>
          <w:bCs w:val="false"/>
          <w:position w:val="0"/>
          <w:sz w:val="24"/>
          <w:szCs w:val="24"/>
          <w:u w:val="none"/>
          <w:vertAlign w:val="baseline"/>
          <w:lang w:val="en-GB"/>
        </w:rPr>
        <w:t>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
          <w:rFonts w:eastAsia="Times New Roman" w:cs="Times New Roman" w:ascii="Times New Roman" w:hAnsi="Times New Roman"/>
          <w:b w:val="false"/>
          <w:bCs w:val="false"/>
          <w:position w:val="0"/>
          <w:sz w:val="24"/>
          <w:szCs w:val="24"/>
          <w:u w:val="none"/>
          <w:shd w:fill="auto" w:val="clear"/>
          <w:vertAlign w:val="baseline"/>
          <w:lang w:val="en-GB"/>
        </w:rPr>
        <w:t xml:space="preserve">This shifting focus is clearly illustrated by the transition from the Mod as a symbol of deviance in the 1960s to the football hooligan in the late twentieth century. </w:t>
      </w:r>
      <w:r>
        <w:rPr>
          <w:rStyle w:val="FootnoteCharactersuser"/>
          <w:rFonts w:eastAsia="Times New Roman" w:cs="Times New Roman" w:ascii="Times New Roman" w:hAnsi="Times New Roman"/>
          <w:b w:val="false"/>
          <w:bCs w:val="false"/>
          <w:position w:val="0"/>
          <w:sz w:val="24"/>
          <w:szCs w:val="24"/>
          <w:u w:val="none"/>
          <w:vertAlign w:val="baseline"/>
          <w:lang w:val="en-GB"/>
        </w:rPr>
        <w:t>It also serves as a robust defence against the "media effects" argument; because hooliganism is far from a new phenomenon caused by cinema, it must be understood as a “stable feature of a changing society”.</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The state focuses on these groups on purpose, to find a “convenient metaphor for wider social tensions”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w:t>
      </w:r>
      <w:r>
        <w:rPr>
          <w:rStyle w:val="FootnoteCharactersuser"/>
          <w:rFonts w:eastAsia="Times New Roman" w:cs="Times New Roman" w:ascii="Times New Roman" w:hAnsi="Times New Roman"/>
          <w:b w:val="false"/>
          <w:bCs w:val="false"/>
          <w:position w:val="0"/>
          <w:sz w:val="24"/>
          <w:szCs w:val="24"/>
          <w:u w:val="none"/>
          <w:vertAlign w:val="baseline"/>
          <w:lang w:val="en-GB"/>
        </w:rPr>
        <w:t>ble</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While British discourse framed youth violence as cultural deviance, the American experience developed along very different lines. Instead of the violence being a ‘style’ and a ‘rebellion’, in the US it was a logical reaction to a destroyed environment. Violence is a “functional adaptation to an uncompromising social environment”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The failing of these systems was not accidental, but frequently magnified by states policy and the “demolition of nearly all Chicago’s public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more </w:t>
      </w:r>
      <w:r>
        <w:rPr>
          <w:rStyle w:val="FootnoteCharactersuser"/>
          <w:rFonts w:eastAsia="Times New Roman" w:cs="Times New Roman" w:ascii="Times New Roman" w:hAnsi="Times New Roman"/>
          <w:b w:val="false"/>
          <w:bCs w:val="false"/>
          <w:position w:val="0"/>
          <w:sz w:val="24"/>
          <w:szCs w:val="24"/>
          <w:u w:val="none"/>
          <w:vertAlign w:val="baseline"/>
          <w:lang w:val="en-GB"/>
        </w:rPr>
        <w:t>deep</w:t>
      </w:r>
      <w:r>
        <w:rPr>
          <w:rStyle w:val="FootnoteCharactersuser"/>
          <w:rFonts w:eastAsia="Times New Roman" w:cs="Times New Roman" w:ascii="Times New Roman" w:hAnsi="Times New Roman"/>
          <w:b w:val="false"/>
          <w:bCs w:val="false"/>
          <w:position w:val="0"/>
          <w:sz w:val="24"/>
          <w:szCs w:val="24"/>
          <w:u w:val="none"/>
          <w:vertAlign w:val="baseline"/>
          <w:lang w:val="en-GB"/>
        </w:rPr>
        <w:t>ly,</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These riots were far from a display of political </w:t>
      </w:r>
      <w:r>
        <w:rPr>
          <w:rStyle w:val="FootnoteCharactersuser"/>
          <w:rFonts w:eastAsia="Times New Roman" w:cs="Times New Roman" w:ascii="Times New Roman" w:hAnsi="Times New Roman"/>
          <w:b w:val="false"/>
          <w:bCs w:val="false"/>
          <w:position w:val="0"/>
          <w:sz w:val="24"/>
          <w:szCs w:val="24"/>
          <w:u w:val="none"/>
          <w:vertAlign w:val="baseline"/>
          <w:lang w:val="en-GB"/>
        </w:rPr>
        <w:t>protest</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The cultural forms have served primarily as </w:t>
      </w:r>
      <w:r>
        <w:rPr>
          <w:rStyle w:val="FootnoteCharactersuser"/>
          <w:rFonts w:eastAsia="Times New Roman" w:cs="Times New Roman" w:ascii="Times New Roman" w:hAnsi="Times New Roman"/>
          <w:b w:val="false"/>
          <w:bCs w:val="false"/>
          <w:position w:val="0"/>
          <w:sz w:val="24"/>
          <w:szCs w:val="24"/>
          <w:u w:val="none"/>
          <w:vertAlign w:val="baseline"/>
          <w:lang w:val="en-GB"/>
        </w:rPr>
        <w:t>symbols through which social anxieties are expressed rather than independent drivers of crime. In each case examined, cultural blame obscured deeper structural realities, including economic exclusion, labour market collapse, and the retreat of state support. T</w:t>
      </w:r>
      <w:r>
        <w:rPr>
          <w:rStyle w:val="FootnoteCharactersuser"/>
          <w:rFonts w:eastAsia="Times New Roman" w:cs="Times New Roman" w:ascii="Times New Roman" w:hAnsi="Times New Roman"/>
          <w:b w:val="false"/>
          <w:bCs w:val="false"/>
          <w:position w:val="0"/>
          <w:sz w:val="24"/>
          <w:szCs w:val="24"/>
          <w:u w:val="none"/>
          <w:vertAlign w:val="baseline"/>
          <w:lang w:val="en-GB"/>
        </w:rPr>
        <w:t>he persistence of cultural explanations reflects their political convenience as they offer clear targets for moral condemnation while diverting attention away from the systemic inequality which they are unwilling to acknowledge. Ultimately whilst it at first appears to be cultural phenomena that drives disorder, it is in reality a response to structural failures and those structural failures are the true drivers of disorder, revealing more about society’s unwillingness to confront inequality than about the effect on crime itself.</w:t>
      </w:r>
    </w:p>
    <w:p>
      <w:pPr>
        <w:pStyle w:val="Normal"/>
        <w:spacing w:lineRule="auto" w:line="480"/>
        <w:ind w:firstLine="708"/>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Normal"/>
        <w:spacing w:lineRule="auto" w:line="480"/>
        <w:ind w:firstLine="708"/>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sz w:val="24"/>
          <w:szCs w:val="24"/>
          <w:u w:val="none"/>
          <w:lang w:val="en-GB"/>
        </w:rPr>
      </w:r>
    </w:p>
    <w:p>
      <w:pPr>
        <w:pStyle w:val="Normal"/>
        <w:spacing w:lineRule="auto" w:line="480"/>
        <w:ind w:firstLine="708"/>
        <w:jc w:val="center"/>
        <w:rPr/>
      </w:pPr>
      <w:r>
        <w:rPr>
          <w:rStyle w:val="FootnoteCharactersuser"/>
          <w:rFonts w:eastAsia="Times New Roman" w:cs="Times New Roman" w:ascii="Times New Roman" w:hAnsi="Times New Roman"/>
          <w:b/>
          <w:bCs/>
          <w:position w:val="0"/>
          <w:sz w:val="28"/>
          <w:szCs w:val="28"/>
          <w:u w:val="single"/>
          <w:vertAlign w:val="baseline"/>
          <w:lang w:val="en-GB"/>
        </w:rPr>
        <w:t>Bibliography</w:t>
      </w:r>
    </w:p>
    <w:p>
      <w:pPr>
        <w:pStyle w:val="Normal"/>
        <w:spacing w:lineRule="auto" w:line="240"/>
        <w:rPr>
          <w:rFonts w:ascii="Times New Roman" w:hAnsi="Times New Roman"/>
          <w:sz w:val="24"/>
          <w:szCs w:val="24"/>
        </w:rPr>
      </w:pPr>
      <w:r>
        <w:rPr>
          <w:rFonts w:ascii="Times New Roman" w:hAnsi="Times New Roman"/>
          <w:sz w:val="24"/>
          <w:szCs w:val="24"/>
        </w:rPr>
        <w:t xml:space="preserve">Aspholm, Roberto R., </w:t>
      </w:r>
      <w:r>
        <w:rPr>
          <w:rFonts w:ascii="Times New Roman" w:hAnsi="Times New Roman"/>
          <w:i/>
          <w:iCs/>
          <w:sz w:val="24"/>
          <w:szCs w:val="24"/>
        </w:rPr>
        <w:t>Views from the Streets: The Transformation of Gangs and Violence on Chicago’s South Side</w:t>
      </w:r>
      <w:r>
        <w:rPr>
          <w:rFonts w:ascii="Times New Roman" w:hAnsi="Times New Roman"/>
          <w:sz w:val="24"/>
          <w:szCs w:val="24"/>
        </w:rPr>
        <w:t xml:space="preserve"> (New York: Columbia University Press, 2020)</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Barker, Martin, ‘The Newson Report: A Case Study in Common Sense’, in </w:t>
      </w:r>
      <w:r>
        <w:rPr>
          <w:rFonts w:ascii="Times New Roman" w:hAnsi="Times New Roman"/>
          <w:i/>
          <w:iCs/>
          <w:sz w:val="24"/>
          <w:szCs w:val="24"/>
        </w:rPr>
        <w:t>Ill Effects: The Media/Violence Debate</w:t>
      </w:r>
      <w:r>
        <w:rPr>
          <w:rFonts w:ascii="Times New Roman" w:hAnsi="Times New Roman"/>
          <w:sz w:val="24"/>
          <w:szCs w:val="24"/>
        </w:rPr>
        <w:t>, 2nd edn, ed. by Martin Barker and Julian Petley (London: Routledge, 2001), pp. 25–41</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Barker, Martin, and Julian Petley, eds, </w:t>
      </w:r>
      <w:r>
        <w:rPr>
          <w:rFonts w:ascii="Times New Roman" w:hAnsi="Times New Roman"/>
          <w:i/>
          <w:iCs/>
          <w:sz w:val="24"/>
          <w:szCs w:val="24"/>
        </w:rPr>
        <w:t>Ill Effects: The Media/Violence Debate</w:t>
      </w:r>
      <w:r>
        <w:rPr>
          <w:rFonts w:ascii="Times New Roman" w:hAnsi="Times New Roman"/>
          <w:sz w:val="24"/>
          <w:szCs w:val="24"/>
        </w:rPr>
        <w:t>, 2nd edn (London: Routledge, 2001)</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Cohen, Stanley, </w:t>
      </w:r>
      <w:r>
        <w:rPr>
          <w:rFonts w:ascii="Times New Roman" w:hAnsi="Times New Roman"/>
          <w:i/>
          <w:iCs/>
          <w:sz w:val="24"/>
          <w:szCs w:val="24"/>
        </w:rPr>
        <w:t>Folk Devils and Moral Panics: The Creation of the Mods and Rockers</w:t>
      </w:r>
      <w:r>
        <w:rPr>
          <w:rFonts w:ascii="Times New Roman" w:hAnsi="Times New Roman"/>
          <w:sz w:val="24"/>
          <w:szCs w:val="24"/>
        </w:rPr>
        <w:t>, 3rd edn (London: Routledge, 2011)</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Garland, David, </w:t>
      </w:r>
      <w:r>
        <w:rPr>
          <w:rFonts w:ascii="Times New Roman" w:hAnsi="Times New Roman"/>
          <w:i/>
          <w:iCs/>
          <w:sz w:val="24"/>
          <w:szCs w:val="24"/>
        </w:rPr>
        <w:t>The Culture of Control: Crime and Social Order in Contemporary Society</w:t>
      </w:r>
      <w:r>
        <w:rPr>
          <w:rFonts w:ascii="Times New Roman" w:hAnsi="Times New Roman"/>
          <w:sz w:val="24"/>
          <w:szCs w:val="24"/>
        </w:rPr>
        <w:t xml:space="preserve"> (Oxford: Oxford University Press, 2001)</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Hayward, Keith, and Oliver Smith, ‘Crime and Consumer Culture’, in </w:t>
      </w:r>
      <w:r>
        <w:rPr>
          <w:rFonts w:ascii="Times New Roman" w:hAnsi="Times New Roman"/>
          <w:i/>
          <w:iCs/>
          <w:sz w:val="24"/>
          <w:szCs w:val="24"/>
        </w:rPr>
        <w:t>The Oxford Handbook of Criminology,</w:t>
      </w:r>
      <w:r>
        <w:rPr>
          <w:rFonts w:ascii="Times New Roman" w:hAnsi="Times New Roman"/>
          <w:sz w:val="24"/>
          <w:szCs w:val="24"/>
        </w:rPr>
        <w:t xml:space="preserve"> ed. by Alison Liebling, Shadd Maruna and Lesley McAra, 7th edn (Oxford: Oxford University Press, 2023), pp. 542–64</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Osgerby, Bill, </w:t>
      </w:r>
      <w:r>
        <w:rPr>
          <w:rFonts w:ascii="Times New Roman" w:hAnsi="Times New Roman"/>
          <w:i/>
          <w:iCs/>
          <w:sz w:val="24"/>
          <w:szCs w:val="24"/>
        </w:rPr>
        <w:t>Youth in Britain since 1945</w:t>
      </w:r>
      <w:r>
        <w:rPr>
          <w:rFonts w:ascii="Times New Roman" w:hAnsi="Times New Roman"/>
          <w:sz w:val="24"/>
          <w:szCs w:val="24"/>
        </w:rPr>
        <w:t xml:space="preserve"> (Oxford: Blackwell, 1998)</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Pearson, Geoffrey, </w:t>
      </w:r>
      <w:r>
        <w:rPr>
          <w:rFonts w:ascii="Times New Roman" w:hAnsi="Times New Roman"/>
          <w:i/>
          <w:iCs/>
          <w:sz w:val="24"/>
          <w:szCs w:val="24"/>
        </w:rPr>
        <w:t>Hooligan: A History of Respectable Fears</w:t>
      </w:r>
      <w:r>
        <w:rPr>
          <w:rFonts w:ascii="Times New Roman" w:hAnsi="Times New Roman"/>
          <w:sz w:val="24"/>
          <w:szCs w:val="24"/>
        </w:rPr>
        <w:t xml:space="preserve"> (London: Macmillan, 1983)</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Rowbotham, Judith, Kim Stevenson and Samantha Pegg, </w:t>
      </w:r>
      <w:r>
        <w:rPr>
          <w:rFonts w:ascii="Times New Roman" w:hAnsi="Times New Roman"/>
          <w:i/>
          <w:iCs/>
          <w:sz w:val="24"/>
          <w:szCs w:val="24"/>
        </w:rPr>
        <w:t xml:space="preserve">Crime News in Modern Britain: Press Reporting and Responsibility, 1820–2010 </w:t>
      </w:r>
      <w:r>
        <w:rPr>
          <w:rFonts w:ascii="Times New Roman" w:hAnsi="Times New Roman"/>
          <w:sz w:val="24"/>
          <w:szCs w:val="24"/>
        </w:rPr>
        <w:t>(Basingstoke: Palgrave Macmillan, 2013)</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Spergel, Irving A., ‘Youth Gangs: Continuity and Change’, </w:t>
      </w:r>
      <w:r>
        <w:rPr>
          <w:rFonts w:ascii="Times New Roman" w:hAnsi="Times New Roman"/>
          <w:i/>
          <w:iCs/>
          <w:sz w:val="24"/>
          <w:szCs w:val="24"/>
        </w:rPr>
        <w:t>Crime and Justice</w:t>
      </w:r>
      <w:r>
        <w:rPr>
          <w:rFonts w:ascii="Times New Roman" w:hAnsi="Times New Roman"/>
          <w:sz w:val="24"/>
          <w:szCs w:val="24"/>
        </w:rPr>
        <w:t>, 12 (1990), 171–275</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Van Elteren, Mel, </w:t>
      </w:r>
      <w:r>
        <w:rPr>
          <w:rFonts w:ascii="Times New Roman" w:hAnsi="Times New Roman"/>
          <w:i/>
          <w:iCs/>
          <w:sz w:val="24"/>
          <w:szCs w:val="24"/>
        </w:rPr>
        <w:t>review of Youth in Britain since 1945</w:t>
      </w:r>
      <w:r>
        <w:rPr>
          <w:rFonts w:ascii="Times New Roman" w:hAnsi="Times New Roman"/>
          <w:sz w:val="24"/>
          <w:szCs w:val="24"/>
        </w:rPr>
        <w:t xml:space="preserve">, by Bill Osgerby, </w:t>
      </w:r>
      <w:r>
        <w:rPr>
          <w:rFonts w:ascii="Times New Roman" w:hAnsi="Times New Roman"/>
          <w:i/>
          <w:iCs/>
          <w:sz w:val="24"/>
          <w:szCs w:val="24"/>
        </w:rPr>
        <w:t>International Review of Social History</w:t>
      </w:r>
      <w:r>
        <w:rPr>
          <w:rFonts w:ascii="Times New Roman" w:hAnsi="Times New Roman"/>
          <w:sz w:val="24"/>
          <w:szCs w:val="24"/>
        </w:rPr>
        <w:t>, 44.2 (1999), 318–19</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rPr>
          <w:rFonts w:ascii="Times New Roman" w:hAnsi="Times New Roman"/>
          <w:sz w:val="24"/>
          <w:szCs w:val="24"/>
        </w:rPr>
      </w:pPr>
      <w:r>
        <w:rPr>
          <w:rFonts w:ascii="Times New Roman" w:hAnsi="Times New Roman"/>
          <w:sz w:val="24"/>
          <w:szCs w:val="24"/>
        </w:rPr>
        <w:t xml:space="preserve">Welshman, John, </w:t>
      </w:r>
      <w:r>
        <w:rPr>
          <w:rFonts w:ascii="Times New Roman" w:hAnsi="Times New Roman"/>
          <w:i/>
          <w:iCs/>
          <w:sz w:val="24"/>
          <w:szCs w:val="24"/>
        </w:rPr>
        <w:t>Underclass: A History of the Excluded, 1880–2000</w:t>
      </w:r>
      <w:r>
        <w:rPr>
          <w:rFonts w:ascii="Times New Roman" w:hAnsi="Times New Roman"/>
          <w:sz w:val="24"/>
          <w:szCs w:val="24"/>
        </w:rPr>
        <w:t xml:space="preserve"> (London: Hambledon Continuum, 2006)</w:t>
      </w:r>
    </w:p>
    <w:p>
      <w:pPr>
        <w:pStyle w:val="Normal"/>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200"/>
        <w:rPr>
          <w:rFonts w:ascii="Times New Roman" w:hAnsi="Times New Roman"/>
          <w:sz w:val="24"/>
          <w:szCs w:val="24"/>
        </w:rPr>
      </w:pPr>
      <w:r>
        <w:rPr>
          <w:rFonts w:ascii="Times New Roman" w:hAnsi="Times New Roman"/>
          <w:sz w:val="24"/>
          <w:szCs w:val="24"/>
        </w:rPr>
        <w:t>Williamson, Howard, r</w:t>
      </w:r>
      <w:r>
        <w:rPr>
          <w:rFonts w:ascii="Times New Roman" w:hAnsi="Times New Roman"/>
          <w:i/>
          <w:iCs/>
          <w:sz w:val="24"/>
          <w:szCs w:val="24"/>
        </w:rPr>
        <w:t>eview of Hooligan: A History of Respectable Fears</w:t>
      </w:r>
      <w:r>
        <w:rPr>
          <w:rFonts w:ascii="Times New Roman" w:hAnsi="Times New Roman"/>
          <w:sz w:val="24"/>
          <w:szCs w:val="24"/>
        </w:rPr>
        <w:t xml:space="preserve">, by Geoffrey Pearson, </w:t>
      </w:r>
      <w:r>
        <w:rPr>
          <w:rFonts w:ascii="Times New Roman" w:hAnsi="Times New Roman"/>
          <w:i/>
          <w:iCs/>
          <w:sz w:val="24"/>
          <w:szCs w:val="24"/>
        </w:rPr>
        <w:t>Sociology</w:t>
      </w:r>
      <w:r>
        <w:rPr>
          <w:rFonts w:ascii="Times New Roman" w:hAnsi="Times New Roman"/>
          <w:sz w:val="24"/>
          <w:szCs w:val="24"/>
        </w:rPr>
        <w:t>, 17.4 (1983), 615–16</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sz w:val="20"/>
          <w:szCs w:val="20"/>
        </w:rPr>
        <w:t xml:space="preserve"> </w:t>
      </w:r>
      <w:r>
        <w:rPr>
          <w:rFonts w:eastAsia="Times New Roman" w:cs="Times New Roman"/>
          <w:sz w:val="20"/>
          <w:szCs w:val="20"/>
        </w:rPr>
        <w:t>Barker, M., and J. Petley, eds,</w:t>
      </w:r>
      <w:r>
        <w:rPr>
          <w:rFonts w:eastAsia="Times New Roman" w:cs="Times New Roman"/>
          <w:i/>
          <w:iCs/>
          <w:sz w:val="20"/>
          <w:szCs w:val="20"/>
        </w:rPr>
        <w:t xml:space="preserve"> Ill Effects: The Media/Violence Debate</w:t>
      </w:r>
      <w:r>
        <w:rPr>
          <w:rFonts w:eastAsia="Times New Roman" w:cs="Times New Roman"/>
          <w:sz w:val="20"/>
          <w:szCs w:val="20"/>
        </w:rPr>
        <w:t>, 2nd edn (London: Routledge, 2001)</w:t>
      </w:r>
      <w:r>
        <w:rPr>
          <w:rFonts w:eastAsia="Times New Roman" w:cs="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sz w:val="20"/>
          <w:szCs w:val="20"/>
        </w:rPr>
        <w:t xml:space="preserve"> </w:t>
      </w:r>
      <w:r>
        <w:rPr>
          <w:rFonts w:eastAsia="Times New Roman" w:cs="Times New Roman"/>
          <w:color w:themeColor="text1" w:val="000000"/>
          <w:sz w:val="20"/>
          <w:szCs w:val="20"/>
          <w:lang w:val="en-GB"/>
        </w:rPr>
        <w:t xml:space="preserve">S. Cohen, </w:t>
      </w:r>
      <w:r>
        <w:rPr>
          <w:rFonts w:eastAsia="Times New Roman" w:cs="Times New Roman"/>
          <w:i/>
          <w:iCs/>
          <w:color w:themeColor="text1" w:val="000000"/>
          <w:sz w:val="20"/>
          <w:szCs w:val="20"/>
          <w:lang w:val="en-GB"/>
        </w:rPr>
        <w:t>Folk Devils and Moral Panics: The Creation of the Mods and Rockers</w:t>
      </w:r>
      <w:r>
        <w:rPr>
          <w:rFonts w:eastAsia="Times New Roman" w:cs="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lang w:val="en-US"/>
        </w:rPr>
        <w:t xml:space="preserve"> </w:t>
      </w:r>
      <w:r>
        <w:rPr>
          <w:rFonts w:eastAsia="Times New Roman" w:cs="Times New Roman"/>
          <w:lang w:val="en-US"/>
        </w:rPr>
        <w:t xml:space="preserve">Martin Barker, ‘The Newson Report: A Case Study in Common Sense’, in </w:t>
      </w:r>
      <w:r>
        <w:rPr>
          <w:rFonts w:eastAsia="Times New Roman" w:cs="Times New Roman"/>
          <w:i/>
          <w:iCs/>
          <w:lang w:val="en-US"/>
        </w:rPr>
        <w:t>Ill Effects</w:t>
      </w:r>
      <w:r>
        <w:rPr>
          <w:rFonts w:eastAsia="Times New Roman" w:cs="Times New Roman"/>
          <w:i/>
          <w:iCs/>
          <w:sz w:val="20"/>
          <w:szCs w:val="20"/>
        </w:rPr>
        <w:t>: The Media/Violence Debate</w:t>
      </w:r>
      <w:r>
        <w:rPr>
          <w:rFonts w:eastAsia="Times New Roman" w:cs="Times New Roman"/>
          <w:sz w:val="20"/>
          <w:szCs w:val="20"/>
        </w:rPr>
        <w:t>, 2nd edn (London: Routledge, 2001)</w:t>
      </w:r>
      <w:r>
        <w:rPr>
          <w:rFonts w:eastAsia="Times New Roman" w:cs="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lang w:val="en-US"/>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xml:space="preserve">, p. 3. </w:t>
      </w:r>
    </w:p>
  </w:footnote>
  <w:footnote w:id="15">
    <w:p>
      <w:pPr>
        <w:pStyle w:val="FootnoteText"/>
        <w:rPr/>
      </w:pPr>
      <w:r>
        <w:rPr>
          <w:rStyle w:val="FootnoteCharacters"/>
        </w:rPr>
        <w:footnoteRef/>
      </w:r>
      <w:r>
        <w:rPr/>
        <w:t xml:space="preserve"> </w:t>
      </w:r>
      <w:r>
        <w:rPr/>
        <w:t xml:space="preserve">Howard Williamson, review of </w:t>
      </w:r>
      <w:r>
        <w:rPr>
          <w:i/>
          <w:iCs/>
        </w:rPr>
        <w:t xml:space="preserve">Hooligan: A History of Respectable Fears, </w:t>
      </w:r>
      <w:r>
        <w:rPr>
          <w:i w:val="false"/>
          <w:iCs w:val="false"/>
        </w:rPr>
        <w:t xml:space="preserve">by Geoffrey Pearson, </w:t>
      </w:r>
      <w:r>
        <w:rPr>
          <w:i/>
          <w:iCs/>
        </w:rPr>
        <w:t xml:space="preserve">Sociology, </w:t>
      </w:r>
      <w:r>
        <w:rPr>
          <w:i w:val="false"/>
          <w:iCs w:val="false"/>
        </w:rPr>
        <w:t>17.4 (1983), p. 615.</w:t>
      </w:r>
    </w:p>
  </w:footnote>
  <w:footnote w:id="16">
    <w:p>
      <w:pPr>
        <w:pStyle w:val="FootnoteText"/>
        <w:rPr>
          <w:rFonts w:ascii="Times New Roman" w:hAnsi="Times New Roman"/>
        </w:rPr>
      </w:pPr>
      <w:r>
        <w:rPr>
          <w:rStyle w:val="FootnoteCharacters"/>
        </w:rPr>
        <w:footnoteRef/>
      </w:r>
      <w:r>
        <w:rPr/>
        <w:t xml:space="preserve"> </w:t>
      </w:r>
      <w:r>
        <w:rPr/>
        <w:t xml:space="preserve">Williamson, </w:t>
      </w:r>
      <w:r>
        <w:rPr>
          <w:i/>
          <w:iCs/>
        </w:rPr>
        <w:t>Hooligan,</w:t>
      </w:r>
      <w:r>
        <w:rPr>
          <w:i w:val="false"/>
          <w:iCs w:val="false"/>
        </w:rPr>
        <w:t xml:space="preserve"> p. 615. </w:t>
      </w:r>
    </w:p>
  </w:footnote>
  <w:footnote w:id="17">
    <w:p>
      <w:pPr>
        <w:pStyle w:val="FootnoteText"/>
        <w:rPr/>
      </w:pPr>
      <w:r>
        <w:rPr>
          <w:rStyle w:val="FootnoteCharacters"/>
        </w:rPr>
        <w:footnoteRef/>
      </w:r>
      <w:r>
        <w:rPr/>
        <w:t xml:space="preserve"> </w:t>
      </w:r>
      <w:r>
        <w:rPr/>
        <w:t xml:space="preserve">Williamson, </w:t>
      </w:r>
      <w:r>
        <w:rPr>
          <w:i/>
          <w:iCs/>
        </w:rPr>
        <w:t>Hooligan,</w:t>
      </w:r>
      <w:r>
        <w:rPr>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95"/>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LibreOffice/25.8.4.2$Linux_X86_64 LibreOffice_project/580$Build-2</Application>
  <AppVersion>15.0000</AppVersion>
  <Pages>9</Pages>
  <Words>2765</Words>
  <Characters>14961</Characters>
  <CharactersWithSpaces>17701</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2026-01-22T11:19:14Z</dcterms:modified>
  <cp:revision>113</cp:revision>
  <dc:subject/>
  <dc:title/>
</cp:coreProperties>
</file>

<file path=docProps/custom.xml><?xml version="1.0" encoding="utf-8"?>
<Properties xmlns="http://schemas.openxmlformats.org/officeDocument/2006/custom-properties" xmlns:vt="http://schemas.openxmlformats.org/officeDocument/2006/docPropsVTypes"/>
</file>