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cbprklb1f2dw" w:id="0"/>
      <w:bookmarkEnd w:id="0"/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0qogfs1npnd" w:id="1"/>
      <w:bookmarkEnd w:id="1"/>
      <w:r w:rsidDel="00000000" w:rsidR="00000000" w:rsidRPr="00000000">
        <w:rPr>
          <w:rtl w:val="0"/>
        </w:rPr>
        <w:t xml:space="preserve">Welcome to Pasadena, “Crown of the Valley”.</w:t>
      </w:r>
    </w:p>
    <w:p w:rsidR="00000000" w:rsidDel="00000000" w:rsidP="00000000" w:rsidRDefault="00000000" w:rsidRPr="00000000" w14:paraId="00000003">
      <w:pPr>
        <w:rPr>
          <w:color w:val="124966"/>
          <w:sz w:val="23"/>
          <w:szCs w:val="23"/>
        </w:rPr>
      </w:pPr>
      <w:r w:rsidDel="00000000" w:rsidR="00000000" w:rsidRPr="00000000">
        <w:rPr>
          <w:rtl w:val="0"/>
        </w:rPr>
        <w:t xml:space="preserve">Situated in the beautiful Humber Valley, Pasadena residents enjoy a rural lifestyle with access to a full range of services. The community is known for maintaining an attractive town with abundant green spaces, flower gardens and tree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