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How can we measure cognitive load?</w:t>
      </w:r>
    </w:p>
    <w:p w:rsidR="00000000" w:rsidDel="00000000" w:rsidP="00000000" w:rsidRDefault="00000000" w:rsidRPr="00000000" w14:paraId="00000002">
      <w:pPr>
        <w:rPr/>
      </w:pPr>
      <w:r w:rsidDel="00000000" w:rsidR="00000000" w:rsidRPr="00000000">
        <w:rPr>
          <w:rtl w:val="0"/>
        </w:rPr>
        <w:t xml:space="preserve">Spitballing </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Types of Cognitive Load:</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Intrinsic CL (complex tasks with high element interactivity, and no prior experience. focus on learning content)</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Extraneous CL (spatially distant formats generate extraneous load because learners are forced to hold information in working memory while searching for referential information, split-attention effect: How the data is presented is just as important as what is being said), </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Germane CL Germane CL represents the allocation of working memory resources to schema construction and automation - the mental effort actively invested in learning processes. Unlike intrinsic and extraneous loads (which are passively experienced), germane load reflects deliberate cognitive engagement by the learner (Sweller et al., 2019). Addendum from Klepsh (2017): Germane load is dependent on intrinsic load; learners can only devote germane resources if extraneous load doesn’t exceed working memory capacity.</w:t>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Four-Category Classification System for cognitive load measurement:</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Subjective-direct: Self-reports of mental effort (Paas scale, etc)</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Subjective-indirect: Inferred from learner responses</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Objective-direct: Dual-task methodology, EEG - directly related to CL</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Objective-indirect: Performance metrics, can be influenced by other factors.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Most cognitive load studies use psycho-physiological tools (EEG, PSD, etc.) to measure cognitive load. While EEG provides continuous, real-time measurement of cognitive load (Antonenko et al., 2010), it requires specialized equipment, signal processing expertise, and controlled laboratory settings, making it impractical for our study. </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One of the oldest reliable (Krieglestein et al. 2022) ways to measure cognitive load is using a Paas Scale (1-9). Where 1 is very low effort while 9 is very high mental effort.</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The reason that the Paas-Scale alone is insufficient is because mental effort is interpreted as task difficulty, asking learners to determine a task's difficulty is problematic.</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The Paas-Scale also doesn't differentiate between the different types of cognitive load.</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The best course of action would be to pair the Paas Scale with another form of measurement such as performance metrics to assess mental effort. This combined measurement approach also allows tracking of cognitive load changes as learners gain expertise - a phenomenon known as the expertise reversal effect, where instructional methods effective for novices become less effective or even counterproductive for experts as their cognitive load decreases with experience (Sweller et al., 2019).</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Another option is to use dual-task methodology: where participants perform a primary learning task (interpreting a R or L language), while also performing a secondary task (responding to a tone, etc) their reaction time on the secondary task would represent the cognitive load, quick response would be low cognitive load while slow response would be high cognitive load.</w:t>
        <w:tab/>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Another option to measure cognitive load is to use a questionnaire similar to the one used by Leppink et al. (2013), their study they used a 10 question questionnaire to test different types of CL we would implement it following their specifications:</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Hypothesis 1. Items 1, 2, and 3 all deal with complexity</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of the subject matter itself and are therefore expected to</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load on the factor of IL;</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Hypothesis 2. Items 4, 5, and 6 all deal with negative</w:t>
      </w:r>
    </w:p>
    <w:p w:rsidR="00000000" w:rsidDel="00000000" w:rsidP="00000000" w:rsidRDefault="00000000" w:rsidRPr="00000000" w14:paraId="00000017">
      <w:pPr>
        <w:numPr>
          <w:ilvl w:val="1"/>
          <w:numId w:val="2"/>
        </w:numPr>
        <w:ind w:left="1440" w:hanging="360"/>
        <w:rPr>
          <w:u w:val="none"/>
        </w:rPr>
      </w:pPr>
      <w:r w:rsidDel="00000000" w:rsidR="00000000" w:rsidRPr="00000000">
        <w:rPr>
          <w:rtl w:val="0"/>
        </w:rPr>
        <w:t xml:space="preserve">characteristics of instructions and explanations and are</w:t>
      </w:r>
    </w:p>
    <w:p w:rsidR="00000000" w:rsidDel="00000000" w:rsidP="00000000" w:rsidRDefault="00000000" w:rsidRPr="00000000" w14:paraId="00000018">
      <w:pPr>
        <w:numPr>
          <w:ilvl w:val="1"/>
          <w:numId w:val="2"/>
        </w:numPr>
        <w:ind w:left="1440" w:hanging="360"/>
        <w:rPr>
          <w:u w:val="none"/>
        </w:rPr>
      </w:pPr>
      <w:r w:rsidDel="00000000" w:rsidR="00000000" w:rsidRPr="00000000">
        <w:rPr>
          <w:rtl w:val="0"/>
        </w:rPr>
        <w:t xml:space="preserve">therefore expected to load on the factor of EL;</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Hypothesis 3. Items 7, 8, 9, and 10 all deal with the</w:t>
      </w:r>
    </w:p>
    <w:p w:rsidR="00000000" w:rsidDel="00000000" w:rsidP="00000000" w:rsidRDefault="00000000" w:rsidRPr="00000000" w14:paraId="0000001A">
      <w:pPr>
        <w:numPr>
          <w:ilvl w:val="1"/>
          <w:numId w:val="2"/>
        </w:numPr>
        <w:ind w:left="1440" w:hanging="360"/>
        <w:rPr>
          <w:u w:val="none"/>
        </w:rPr>
      </w:pPr>
      <w:r w:rsidDel="00000000" w:rsidR="00000000" w:rsidRPr="00000000">
        <w:rPr>
          <w:rtl w:val="0"/>
        </w:rPr>
        <w:t xml:space="preserve">extent to which instructions and explanations contribute</w:t>
      </w:r>
    </w:p>
    <w:p w:rsidR="00000000" w:rsidDel="00000000" w:rsidP="00000000" w:rsidRDefault="00000000" w:rsidRPr="00000000" w14:paraId="0000001B">
      <w:pPr>
        <w:numPr>
          <w:ilvl w:val="1"/>
          <w:numId w:val="2"/>
        </w:numPr>
        <w:ind w:left="1440" w:hanging="360"/>
        <w:rPr>
          <w:u w:val="none"/>
        </w:rPr>
      </w:pPr>
      <w:r w:rsidDel="00000000" w:rsidR="00000000" w:rsidRPr="00000000">
        <w:rPr>
          <w:rtl w:val="0"/>
        </w:rPr>
        <w:t xml:space="preserve">to learning and are therefore expected to load on the</w:t>
      </w:r>
    </w:p>
    <w:p w:rsidR="00000000" w:rsidDel="00000000" w:rsidP="00000000" w:rsidRDefault="00000000" w:rsidRPr="00000000" w14:paraId="0000001C">
      <w:pPr>
        <w:numPr>
          <w:ilvl w:val="1"/>
          <w:numId w:val="2"/>
        </w:numPr>
        <w:ind w:left="1440" w:hanging="360"/>
        <w:rPr>
          <w:u w:val="none"/>
        </w:rPr>
      </w:pPr>
      <w:r w:rsidDel="00000000" w:rsidR="00000000" w:rsidRPr="00000000">
        <w:rPr>
          <w:rtl w:val="0"/>
        </w:rPr>
        <w:t xml:space="preserve">factor of GL.</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Klepsch et al. (2017) validated two measurement approaches: an </w:t>
      </w:r>
      <w:r w:rsidDel="00000000" w:rsidR="00000000" w:rsidRPr="00000000">
        <w:rPr>
          <w:rtl w:val="0"/>
        </w:rPr>
        <w:t xml:space="preserve">informed rating</w:t>
      </w:r>
      <w:r w:rsidDel="00000000" w:rsidR="00000000" w:rsidRPr="00000000">
        <w:rPr>
          <w:rtl w:val="0"/>
        </w:rPr>
        <w:t xml:space="preserve"> condition where learners receive training on the three load types before rating, and a </w:t>
      </w:r>
      <w:r w:rsidDel="00000000" w:rsidR="00000000" w:rsidRPr="00000000">
        <w:rPr>
          <w:rtl w:val="0"/>
        </w:rPr>
        <w:t xml:space="preserve">naive rating</w:t>
      </w:r>
      <w:r w:rsidDel="00000000" w:rsidR="00000000" w:rsidRPr="00000000">
        <w:rPr>
          <w:rtl w:val="0"/>
        </w:rPr>
        <w:t xml:space="preserve"> condition where learners rate items without prior training. Both approaches demonstrated validity, though the informed rating approach showed stronger discriminant validity between load types.</w:t>
      </w:r>
    </w:p>
    <w:p w:rsidR="00000000" w:rsidDel="00000000" w:rsidP="00000000" w:rsidRDefault="00000000" w:rsidRPr="00000000" w14:paraId="0000001E">
      <w:pPr>
        <w:numPr>
          <w:ilvl w:val="1"/>
          <w:numId w:val="2"/>
        </w:numPr>
        <w:ind w:left="1440" w:hanging="360"/>
        <w:rPr>
          <w:u w:val="none"/>
        </w:rPr>
      </w:pPr>
      <w:r w:rsidDel="00000000" w:rsidR="00000000" w:rsidRPr="00000000">
        <w:rPr>
          <w:rtl w:val="0"/>
        </w:rPr>
        <w:t xml:space="preserve">Informed rating group: where the learners are informed what these load types are and in which ways they differ, that way they should be able to rate the three types of cognitive load correctly.</w:t>
      </w:r>
    </w:p>
    <w:p w:rsidR="00000000" w:rsidDel="00000000" w:rsidP="00000000" w:rsidRDefault="00000000" w:rsidRPr="00000000" w14:paraId="0000001F">
      <w:pPr>
        <w:numPr>
          <w:ilvl w:val="1"/>
          <w:numId w:val="2"/>
        </w:numPr>
        <w:ind w:left="1440" w:hanging="360"/>
        <w:rPr>
          <w:u w:val="none"/>
        </w:rPr>
      </w:pPr>
      <w:r w:rsidDel="00000000" w:rsidR="00000000" w:rsidRPr="00000000">
        <w:rPr>
          <w:rtl w:val="0"/>
        </w:rPr>
        <w:t xml:space="preserve">Naive rating group: learners are not informed as to CL, and therefore rated all questions in the questionnaire in the same naive manner.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Intro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Body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Conclusion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Sources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Paas, F. G. (1992). Training strategies for attaining transfer of problem-solving skill in statistics: A cognitive-load approach. Journal of Educational Psychology, 84(4), 429-434.</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Brünken, R., Steinbacher, S., Plass, J., &amp; Leutner, D. (2002). Assessment of cognitive load in multimedia learning using dual-task methodology.. Experimental psychology, 49 2, 109-19 . https://doi.org/10.1027//1618-3169.49.2.109.</w:t>
      </w:r>
    </w:p>
    <w:p w:rsidR="00000000" w:rsidDel="00000000" w:rsidP="00000000" w:rsidRDefault="00000000" w:rsidRPr="00000000" w14:paraId="0000003A">
      <w:pPr>
        <w:numPr>
          <w:ilvl w:val="0"/>
          <w:numId w:val="1"/>
        </w:numPr>
        <w:ind w:left="720" w:hanging="360"/>
        <w:rPr>
          <w:u w:val="none"/>
        </w:rPr>
      </w:pPr>
      <w:r w:rsidDel="00000000" w:rsidR="00000000" w:rsidRPr="00000000">
        <w:rPr>
          <w:rtl w:val="0"/>
        </w:rPr>
        <w:t xml:space="preserve">Vanneste, P., Raes, A., Morton, J., Bombeke, K., Van Acker, B., Larmuseau, C., Depaepe, F., &amp; Van Den Noortgate, W. (2020). Towards measuring cognitive load through multimodal physiological data. Cognition, Technology &amp; Work, 23, 567 - 585. https://doi.org/10.1007/s10111-020-00641-0.</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Krieglstein, F., Beege, M., Rey, G., Sanchez-Stockhammer, C., &amp; Schneider, S. (2023). Development and Validation of a Theory-Based Questionnaire to Measure Different Types of Cognitive Load. Educational Psychology Review, 35, 1-37. https://doi.org/10.1007/s10648-023-09738-0.</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Sweller, J. (2018). Measuring cognitive load. Perspectives on Medical Education, 7, 1 - 2. https://doi.org/10.1007/s40037-017-0395-4.</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Ehrich, J., Howard, S., Bokosmaty, S., &amp; Woodcock, S. (2021). An Item Response Modeling Approach to Cognitive Load Measurement. , 6. https://doi.org/10.3389/feduc.2021.648324.</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Leppink, J., Paas, F., Van der Vleuten, CPM., van Gog, T., &amp; Van Merrienboer, JJG. (2013). Development of an instrument for measuring different types of cognitive load. Behavior Research Methods, 45(4), 1058-1072. https://doi.org/10.3758/s13428-013-0334-1</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Klepsch M, Schmitz F and Seufert T (2017) Development and Validation of Two Instruments Measuring Intrinsic, Extraneous, and Germane Cognitive Load. Front. Psychol. 8:1997. doi: 10.3389/fpsyg.2017.01997</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Sweller, J., van Merriënboer, J. J. G., &amp; Paas, F. (2019). Cognitive Architecture and Instructional Design: 20 Years Later. </w:t>
      </w:r>
      <w:r w:rsidDel="00000000" w:rsidR="00000000" w:rsidRPr="00000000">
        <w:rPr>
          <w:i w:val="1"/>
          <w:iCs w:val="1"/>
          <w:rtl w:val="0"/>
        </w:rPr>
        <w:t xml:space="preserve">Educational Psychology Review, 31</w:t>
      </w:r>
      <w:r w:rsidDel="00000000" w:rsidR="00000000" w:rsidRPr="00000000">
        <w:rPr>
          <w:rtl w:val="0"/>
        </w:rPr>
        <w:t xml:space="preserve">(2), 261-292.</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https://doi.org/10.1007/s10648-019-09465-5</w:t>
        </w:r>
      </w:hyperlink>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Krieglstein, F., Beege, M., Rey, G. D., Ginns, P., Krell, M., &amp; Schneider, S. (2022). A systematic meta-analysis of the reliability and validity of subjective cognitive load questionnaires in experimental multimedia learning research. </w:t>
      </w:r>
      <w:r w:rsidDel="00000000" w:rsidR="00000000" w:rsidRPr="00000000">
        <w:rPr>
          <w:i w:val="1"/>
          <w:iCs w:val="1"/>
          <w:rtl w:val="0"/>
        </w:rPr>
        <w:t xml:space="preserve">Educational Psychology Review, 34</w:t>
      </w:r>
      <w:r w:rsidDel="00000000" w:rsidR="00000000" w:rsidRPr="00000000">
        <w:rPr>
          <w:rtl w:val="0"/>
        </w:rPr>
        <w:t xml:space="preserve">, 2485-2541.</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https://doi.org/10.1007/s10648-022-09683-4</w:t>
        </w:r>
      </w:hyperlink>
      <w:r w:rsidDel="00000000" w:rsidR="00000000" w:rsidRPr="00000000">
        <w:rPr>
          <w:rtl w:val="0"/>
        </w:rPr>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Antonenko, P., Paas, F., Grabner, R., &amp; van Gog, T. (2010). Using Electroencephalography to Measure Cognitive Load. </w:t>
      </w:r>
      <w:r w:rsidDel="00000000" w:rsidR="00000000" w:rsidRPr="00000000">
        <w:rPr>
          <w:i w:val="1"/>
          <w:iCs w:val="1"/>
          <w:rtl w:val="0"/>
        </w:rPr>
        <w:t xml:space="preserve">Educational Psychology Review, 22</w:t>
      </w:r>
      <w:r w:rsidDel="00000000" w:rsidR="00000000" w:rsidRPr="00000000">
        <w:rPr>
          <w:rtl w:val="0"/>
        </w:rPr>
        <w:t xml:space="preserve">(4), 425-438.</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https://doi.org/10.1007/s10648-010-9130-y</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07/s10648-010-9130-y" TargetMode="External"/><Relationship Id="rId10" Type="http://schemas.openxmlformats.org/officeDocument/2006/relationships/hyperlink" Target="https://doi.org/10.1007/s10648-010-9130-y" TargetMode="External"/><Relationship Id="rId9" Type="http://schemas.openxmlformats.org/officeDocument/2006/relationships/hyperlink" Target="https://doi.org/10.1007/s10648-022-09683-4" TargetMode="External"/><Relationship Id="rId5" Type="http://schemas.openxmlformats.org/officeDocument/2006/relationships/styles" Target="styles.xml"/><Relationship Id="rId6" Type="http://schemas.openxmlformats.org/officeDocument/2006/relationships/hyperlink" Target="https://doi.org/10.1007/s10648-019-09465-5" TargetMode="External"/><Relationship Id="rId7" Type="http://schemas.openxmlformats.org/officeDocument/2006/relationships/hyperlink" Target="https://doi.org/10.1007/s10648-019-09465-5" TargetMode="External"/><Relationship Id="rId8" Type="http://schemas.openxmlformats.org/officeDocument/2006/relationships/hyperlink" Target="https://doi.org/10.1007/s10648-022-0968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