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8"/>
          <w:szCs w:val="48"/>
        </w:rPr>
        <w:t xml:space="preserve">SOCIAL BOUNTY</w:t>
      </w:r>
    </w:p>
    <w:p>
      <w:pPr>
        <w:spacing w:after="600"/>
        <w:jc w:val="center"/>
      </w:pPr>
      <w:r>
        <w:rPr>
          <w:rFonts w:ascii="Arial" w:cs="Arial" w:eastAsia="Arial" w:hAnsi="Arial"/>
          <w:color w:val="555555"/>
          <w:sz w:val="32"/>
          <w:szCs w:val="32"/>
        </w:rPr>
        <w:t xml:space="preserve">Payment Gateway Review &amp; Recommendation</w:t>
      </w:r>
    </w:p>
    <w:p>
      <w:pPr>
        <w:spacing w:after="100"/>
        <w:jc w:val="center"/>
      </w:pPr>
      <w:r>
        <w:rPr>
          <w:rFonts w:ascii="Arial" w:cs="Arial" w:eastAsia="Arial" w:hAnsi="Arial"/>
          <w:color w:val="777777"/>
          <w:sz w:val="22"/>
          <w:szCs w:val="22"/>
        </w:rPr>
        <w:t xml:space="preserve">Prepared: 9 April 2026</w:t>
      </w:r>
    </w:p>
    <w:p>
      <w:pPr>
        <w:spacing w:after="100"/>
        <w:jc w:val="center"/>
      </w:pPr>
      <w:r>
        <w:rPr>
          <w:rFonts w:ascii="Arial" w:cs="Arial" w:eastAsia="Arial" w:hAnsi="Arial"/>
          <w:b/>
          <w:bCs/>
          <w:color w:val="C0392B"/>
          <w:sz w:val="22"/>
          <w:szCs w:val="22"/>
        </w:rPr>
        <w:t xml:space="preserve">Status: Paystack Application Declined</w:t>
      </w:r>
    </w:p>
    <w:p>
      <w:pPr>
        <w:spacing w:after="100"/>
        <w:jc w:val="center"/>
      </w:pPr>
      <w:r>
        <w:rPr>
          <w:rFonts w:ascii="Arial" w:cs="Arial" w:eastAsia="Arial" w:hAnsi="Arial"/>
          <w:color w:val="999999"/>
          <w:sz w:val="20"/>
          <w:szCs w:val="20"/>
        </w:rPr>
        <w:t xml:space="preserve">Classification: Internal / 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1. Situation Summary</w:t>
      </w:r>
    </w:p>
    <w:p>
      <w:pPr>
        <w:spacing w:after="120"/>
      </w:pPr>
      <w:r>
        <w:rPr>
          <w:rFonts w:ascii="Arial" w:cs="Arial" w:eastAsia="Arial" w:hAnsi="Arial"/>
          <w:sz w:val="22"/>
          <w:szCs w:val="22"/>
        </w:rPr>
        <w:t xml:space="preserve">On 7 April 2026, Paystack declined the Social Bounty application citing "high risk of chargebacks" associated with the marketplace/bounty business model. This is a common response from traditional payment processors when evaluating gig economy and marketplace platforms where funds flow between multiple parties and task quality disputes can trigger payment reversals.</w:t>
      </w:r>
    </w:p>
    <w:p>
      <w:pPr>
        <w:spacing w:after="120"/>
      </w:pPr>
      <w:r>
        <w:rPr>
          <w:rFonts w:ascii="Arial" w:cs="Arial" w:eastAsia="Arial" w:hAnsi="Arial"/>
          <w:sz w:val="22"/>
          <w:szCs w:val="22"/>
        </w:rPr>
        <w:t xml:space="preserve">This document reviews the current wallet and payment architecture, evaluates alternative South African payment gateway providers, and recommends a path forward that mitigates the chargeback concern structurally.</w:t>
      </w:r>
    </w:p>
    <w:p>
      <w:pPr>
        <w:pStyle w:val="Heading1"/>
        <w:spacing w:after="200" w:before="360"/>
      </w:pPr>
      <w:r>
        <w:rPr>
          <w:rFonts w:ascii="Arial" w:cs="Arial" w:eastAsia="Arial" w:hAnsi="Arial"/>
          <w:b/>
          <w:bCs/>
          <w:color w:val="1B4F72"/>
          <w:sz w:val="32"/>
          <w:szCs w:val="32"/>
        </w:rPr>
        <w:t xml:space="preserve">2. Current Implementation Review</w:t>
      </w:r>
    </w:p>
    <w:p>
      <w:pPr>
        <w:pStyle w:val="Heading2"/>
        <w:spacing w:after="160" w:before="280"/>
      </w:pPr>
      <w:r>
        <w:rPr>
          <w:rFonts w:ascii="Arial" w:cs="Arial" w:eastAsia="Arial" w:hAnsi="Arial"/>
          <w:b/>
          <w:bCs/>
          <w:color w:val="1B4F72"/>
          <w:sz w:val="26"/>
          <w:szCs w:val="26"/>
        </w:rPr>
        <w:t xml:space="preserve">2.1 Wallet System (Fully Built)</w:t>
      </w:r>
    </w:p>
    <w:p>
      <w:pPr>
        <w:spacing w:after="120"/>
      </w:pPr>
      <w:r>
        <w:rPr>
          <w:rFonts w:ascii="Arial" w:cs="Arial" w:eastAsia="Arial" w:hAnsi="Arial"/>
          <w:sz w:val="22"/>
          <w:szCs w:val="22"/>
        </w:rPr>
        <w:t xml:space="preserve">The wallet feature is fully implemented across backend and frontend. Each user gets an auto-created wallet with balance tracking, a full transaction ledger with before/after balances, and support for holds, releases, and admin corrections. The system supports four currencies (ZAR, USD, GBP, EUR) with ZAR as primary.</w:t>
      </w:r>
    </w:p>
    <w:p>
      <w:pPr>
        <w:spacing w:after="120"/>
      </w:pPr>
      <w:r>
        <w:rPr>
          <w:rFonts w:ascii="Arial" w:cs="Arial" w:eastAsia="Arial" w:hAnsi="Arial"/>
          <w:b/>
          <w:bCs/>
          <w:sz w:val="22"/>
          <w:szCs w:val="22"/>
        </w:rPr>
        <w:t xml:space="preserve">Withdrawal methods supported: </w:t>
      </w:r>
      <w:r>
        <w:rPr>
          <w:rFonts w:ascii="Arial" w:cs="Arial" w:eastAsia="Arial" w:hAnsi="Arial"/>
          <w:sz w:val="22"/>
          <w:szCs w:val="22"/>
        </w:rPr>
        <w:t xml:space="preserve">PayPal, Bank Transfer, E-Wallet</w:t>
      </w:r>
    </w:p>
    <w:p>
      <w:pPr>
        <w:spacing w:after="120"/>
      </w:pPr>
      <w:r>
        <w:rPr>
          <w:rFonts w:ascii="Arial" w:cs="Arial" w:eastAsia="Arial" w:hAnsi="Arial"/>
          <w:b/>
          <w:bCs/>
          <w:sz w:val="22"/>
          <w:szCs w:val="22"/>
        </w:rPr>
        <w:t xml:space="preserve">Withdrawal limits: </w:t>
      </w:r>
      <w:r>
        <w:rPr>
          <w:rFonts w:ascii="Arial" w:cs="Arial" w:eastAsia="Arial" w:hAnsi="Arial"/>
          <w:sz w:val="22"/>
          <w:szCs w:val="22"/>
        </w:rPr>
        <w:t xml:space="preserve">R50 minimum, R50,000 maximum, max 3 pending per user</w:t>
      </w:r>
    </w:p>
    <w:p>
      <w:pPr>
        <w:spacing w:after="120"/>
      </w:pPr>
      <w:r>
        <w:rPr>
          <w:rFonts w:ascii="Arial" w:cs="Arial" w:eastAsia="Arial" w:hAnsi="Arial"/>
          <w:b/>
          <w:bCs/>
          <w:sz w:val="22"/>
          <w:szCs w:val="22"/>
        </w:rPr>
        <w:t xml:space="preserve">Admin capabilities: </w:t>
      </w:r>
      <w:r>
        <w:rPr>
          <w:rFonts w:ascii="Arial" w:cs="Arial" w:eastAsia="Arial" w:hAnsi="Arial"/>
          <w:sz w:val="22"/>
          <w:szCs w:val="22"/>
        </w:rPr>
        <w:t xml:space="preserve">View all wallets, adjust balances with audit logging, process/complete/fail withdrawals</w:t>
      </w:r>
    </w:p>
    <w:p>
      <w:pPr>
        <w:pStyle w:val="Heading2"/>
        <w:spacing w:after="160" w:before="280"/>
      </w:pPr>
      <w:r>
        <w:rPr>
          <w:rFonts w:ascii="Arial" w:cs="Arial" w:eastAsia="Arial" w:hAnsi="Arial"/>
          <w:b/>
          <w:bCs/>
          <w:color w:val="1B4F72"/>
          <w:sz w:val="26"/>
          <w:szCs w:val="26"/>
        </w:rPr>
        <w:t xml:space="preserve">2.2 Stripe Integration (Fully Built)</w:t>
      </w:r>
    </w:p>
    <w:p>
      <w:pPr>
        <w:spacing w:after="120"/>
      </w:pPr>
      <w:r>
        <w:rPr>
          <w:rFonts w:ascii="Arial" w:cs="Arial" w:eastAsia="Arial" w:hAnsi="Arial"/>
          <w:sz w:val="22"/>
          <w:szCs w:val="22"/>
        </w:rPr>
        <w:t xml:space="preserve">Stripe is currently integrated for bounty funding. When a business admin takes a bounty live, a Stripe PaymentIntent is created. The flow includes webhook handling for payment confirmation, automatic DRAFT to LIVE status transitions, and admin fee calculation based on subscription tier (5% for PRO, 15% for FREE).</w:t>
      </w:r>
    </w:p>
    <w:p>
      <w:pPr>
        <w:pStyle w:val="Heading2"/>
        <w:spacing w:after="160" w:before="280"/>
      </w:pPr>
      <w:r>
        <w:rPr>
          <w:rFonts w:ascii="Arial" w:cs="Arial" w:eastAsia="Arial" w:hAnsi="Arial"/>
          <w:b/>
          <w:bCs/>
          <w:color w:val="1B4F72"/>
          <w:sz w:val="26"/>
          <w:szCs w:val="26"/>
        </w:rPr>
        <w:t xml:space="preserve">2.3 Commission &amp; Subscription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Brand Admin Fee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Hunter Commission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 (R950/mo brand, R350/mo hunter)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bl>
    <w:p>
      <w:pPr>
        <w:spacing w:after="120"/>
      </w:pPr>
      <w:r>
        <w:rPr>
          <w:rFonts w:ascii="Arial" w:cs="Arial" w:eastAsia="Arial" w:hAnsi="Arial"/>
          <w:sz w:val="22"/>
          <w:szCs w:val="22"/>
        </w:rPr>
        <w:t xml:space="preserve"/>
      </w:r>
    </w:p>
    <w:p>
      <w:pPr>
        <w:pStyle w:val="Heading1"/>
        <w:spacing w:after="200" w:before="360"/>
      </w:pPr>
      <w:r>
        <w:rPr>
          <w:rFonts w:ascii="Arial" w:cs="Arial" w:eastAsia="Arial" w:hAnsi="Arial"/>
          <w:b/>
          <w:bCs/>
          <w:color w:val="1B4F72"/>
          <w:sz w:val="32"/>
          <w:szCs w:val="32"/>
        </w:rPr>
        <w:t xml:space="preserve">3. Why Paystack Declined</w:t>
      </w:r>
    </w:p>
    <w:p>
      <w:pPr>
        <w:spacing w:after="120"/>
      </w:pPr>
      <w:r>
        <w:rPr>
          <w:rFonts w:ascii="Arial" w:cs="Arial" w:eastAsia="Arial" w:hAnsi="Arial"/>
          <w:sz w:val="22"/>
          <w:szCs w:val="22"/>
        </w:rPr>
        <w:t xml:space="preserve">Paystack's concern is valid and common across payment processors evaluating marketplace platforms. The chargeback risk profile of a bounty marketplace includes three scenarios:</w:t>
      </w:r>
    </w:p>
    <w:p>
      <w:pPr>
        <w:pStyle w:val="ListParagraph"/>
        <w:numPr>
          <w:ilvl w:val="0"/>
          <w:numId w:val="2"/>
        </w:numPr>
        <w:spacing w:after="80"/>
      </w:pPr>
      <w:r>
        <w:rPr>
          <w:rFonts w:ascii="Arial" w:cs="Arial" w:eastAsia="Arial" w:hAnsi="Arial"/>
          <w:sz w:val="22"/>
          <w:szCs w:val="22"/>
        </w:rPr>
        <w:t xml:space="preserve">Business disputes task quality after payment has been processed to participant</w:t>
      </w:r>
    </w:p>
    <w:p>
      <w:pPr>
        <w:pStyle w:val="ListParagraph"/>
        <w:numPr>
          <w:ilvl w:val="0"/>
          <w:numId w:val="2"/>
        </w:numPr>
        <w:spacing w:after="80"/>
      </w:pPr>
      <w:r>
        <w:rPr>
          <w:rFonts w:ascii="Arial" w:cs="Arial" w:eastAsia="Arial" w:hAnsi="Arial"/>
          <w:sz w:val="22"/>
          <w:szCs w:val="22"/>
        </w:rPr>
        <w:t xml:space="preserve">Participant removes content after being paid, business requests reversal</w:t>
      </w:r>
    </w:p>
    <w:p>
      <w:pPr>
        <w:pStyle w:val="ListParagraph"/>
        <w:numPr>
          <w:ilvl w:val="0"/>
          <w:numId w:val="2"/>
        </w:numPr>
        <w:spacing w:after="80"/>
      </w:pPr>
      <w:r>
        <w:rPr>
          <w:rFonts w:ascii="Arial" w:cs="Arial" w:eastAsia="Arial" w:hAnsi="Arial"/>
          <w:sz w:val="22"/>
          <w:szCs w:val="22"/>
        </w:rPr>
        <w:t xml:space="preserve">Fraudulent submissions trigger disputes after funds have left the platform</w:t>
      </w:r>
    </w:p>
    <w:p>
      <w:pPr>
        <w:spacing w:after="120"/>
      </w:pPr>
      <w:r>
        <w:rPr>
          <w:rFonts w:ascii="Arial" w:cs="Arial" w:eastAsia="Arial" w:hAnsi="Arial"/>
          <w:sz w:val="22"/>
          <w:szCs w:val="22"/>
        </w:rPr>
        <w:t xml:space="preserve">The key insight is that the wallet-based pre-funding model already built into Social Bounty significantly reduces this risk. Businesses pre-fund bounties before they go live, and payouts to participants come from wallet balances rather than direct card charges. This means chargebacks can only occur on the initial funding transaction, not on individual payouts.</w:t>
      </w:r>
    </w:p>
    <w:p>
      <w:pPr>
        <w:pStyle w:val="Heading1"/>
        <w:spacing w:after="200" w:before="360"/>
      </w:pPr>
      <w:r>
        <w:rPr>
          <w:rFonts w:ascii="Arial" w:cs="Arial" w:eastAsia="Arial" w:hAnsi="Arial"/>
          <w:b/>
          <w:bCs/>
          <w:color w:val="1B4F72"/>
          <w:sz w:val="32"/>
          <w:szCs w:val="32"/>
        </w:rPr>
        <w:t xml:space="preserve">4. Payment Gateway Comparison</w:t>
      </w:r>
    </w:p>
    <w:p>
      <w:pPr>
        <w:spacing w:after="120"/>
      </w:pPr>
      <w:r>
        <w:rPr>
          <w:rFonts w:ascii="Arial" w:cs="Arial" w:eastAsia="Arial" w:hAnsi="Arial"/>
          <w:sz w:val="22"/>
          <w:szCs w:val="22"/>
        </w:rPr>
        <w:t xml:space="preserve">The following South African payment providers were evaluated for marketplace suitability: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300"/>
        <w:gridCol w:w="1160"/>
        <w:gridCol w:w="1300"/>
        <w:gridCol w:w="140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Collections</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Payouts</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Split Pay</w:t>
            </w:r>
          </w:p>
        </w:tc>
        <w:tc>
          <w:tcPr>
            <w:tcW w:type="dxa" w:w="1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Escrow</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API</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Stitch Money</w:t>
            </w:r>
          </w:p>
        </w:tc>
        <w:tc>
          <w:tcPr>
            <w:tcW w:type="dxa" w:w="13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Excellent</w:t>
            </w:r>
          </w:p>
        </w:tc>
        <w:tc>
          <w:tcPr>
            <w:tcW w:type="dxa" w:w="13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Excellent</w:t>
            </w:r>
          </w:p>
        </w:tc>
        <w:tc>
          <w:tcPr>
            <w:tcW w:type="dxa" w:w="13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Yes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96F3D"/>
                <w:sz w:val="20"/>
                <w:szCs w:val="20"/>
              </w:rPr>
              <w:t xml:space="preserve">STRONG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Peach Payments</w:t>
            </w:r>
          </w:p>
        </w:tc>
        <w:tc>
          <w:tcPr>
            <w:tcW w:type="dxa" w:w="13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Excellent</w:t>
            </w:r>
          </w:p>
        </w:tc>
        <w:tc>
          <w:tcPr>
            <w:tcW w:type="dxa" w:w="13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Excellent</w:t>
            </w:r>
          </w:p>
        </w:tc>
        <w:tc>
          <w:tcPr>
            <w:tcW w:type="dxa" w:w="13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Likely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96F3D"/>
                <w:sz w:val="20"/>
                <w:szCs w:val="20"/>
              </w:rPr>
              <w:t xml:space="preserve">STRONG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PayU SA</w:t>
            </w:r>
          </w:p>
        </w:tc>
        <w:tc>
          <w:tcPr>
            <w:tcW w:type="dxa" w:w="13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Excellent</w:t>
            </w:r>
          </w:p>
        </w:tc>
        <w:tc>
          <w:tcPr>
            <w:tcW w:type="dxa" w:w="13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Good</w:t>
            </w:r>
          </w:p>
        </w:tc>
        <w:tc>
          <w:tcPr>
            <w:tcW w:type="dxa" w:w="13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Yes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5276"/>
                <w:sz w:val="20"/>
                <w:szCs w:val="20"/>
              </w:rPr>
              <w:t xml:space="preserve">GOOD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Ozow</w:t>
            </w:r>
          </w:p>
        </w:tc>
        <w:tc>
          <w:tcPr>
            <w:tcW w:type="dxa" w:w="13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Excellent</w:t>
            </w:r>
          </w:p>
        </w:tc>
        <w:tc>
          <w:tcPr>
            <w:tcW w:type="dxa" w:w="13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Fair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B7950B"/>
                <w:sz w:val="20"/>
                <w:szCs w:val="20"/>
              </w:rPr>
              <w:t xml:space="preserve">PARTIAL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PayFast</w:t>
            </w:r>
          </w:p>
        </w:tc>
        <w:tc>
          <w:tcPr>
            <w:tcW w:type="dxa" w:w="13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Good</w:t>
            </w:r>
          </w:p>
        </w:tc>
        <w:tc>
          <w:tcPr>
            <w:tcW w:type="dxa" w:w="13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Limited</w:t>
            </w:r>
          </w:p>
        </w:tc>
        <w:tc>
          <w:tcPr>
            <w:tcW w:type="dxa" w:w="13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Limited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B7950B"/>
                <w:sz w:val="20"/>
                <w:szCs w:val="20"/>
              </w:rPr>
              <w:t xml:space="preserve">PARTIAL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Yoco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WEAK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iKhokha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WEAK</w:t>
            </w:r>
          </w:p>
        </w:tc>
      </w:tr>
    </w:tbl>
    <w:p>
      <w:pPr>
        <w:spacing w:after="120"/>
      </w:pPr>
      <w:r>
        <w:rPr>
          <w:rFonts w:ascii="Arial" w:cs="Arial" w:eastAsia="Arial" w:hAnsi="Arial"/>
          <w:sz w:val="22"/>
          <w:szCs w:val="22"/>
        </w:rPr>
        <w:t xml:space="preserve"/>
      </w:r>
    </w:p>
    <w:p>
      <w:pPr>
        <w:pStyle w:val="Heading1"/>
        <w:spacing w:after="200" w:before="360"/>
      </w:pPr>
      <w:r>
        <w:rPr>
          <w:rFonts w:ascii="Arial" w:cs="Arial" w:eastAsia="Arial" w:hAnsi="Arial"/>
          <w:b/>
          <w:bCs/>
          <w:color w:val="1B4F72"/>
          <w:sz w:val="32"/>
          <w:szCs w:val="32"/>
        </w:rPr>
        <w:t xml:space="preserve">5. Recommended Approach</w:t>
      </w:r>
    </w:p>
    <w:p>
      <w:pPr>
        <w:pStyle w:val="Heading2"/>
        <w:spacing w:after="160" w:before="280"/>
      </w:pPr>
      <w:r>
        <w:rPr>
          <w:rFonts w:ascii="Arial" w:cs="Arial" w:eastAsia="Arial" w:hAnsi="Arial"/>
          <w:b/>
          <w:bCs/>
          <w:color w:val="1B4F72"/>
          <w:sz w:val="26"/>
          <w:szCs w:val="26"/>
        </w:rPr>
        <w:t xml:space="preserve">Option A: Stitch Money + TradeSafe (Primary Recommendation)</w:t>
      </w:r>
    </w:p>
    <w:p>
      <w:pPr>
        <w:spacing w:after="120"/>
      </w:pPr>
      <w:r>
        <w:rPr>
          <w:rFonts w:ascii="Arial" w:cs="Arial" w:eastAsia="Arial" w:hAnsi="Arial"/>
          <w:sz w:val="22"/>
          <w:szCs w:val="22"/>
        </w:rPr>
        <w:t xml:space="preserve">Stitch Money is a Cape Town-based fintech processing over 50 million transactions annually. They explicitly serve marketplace and gig economy platforms, with a purpose-built payouts API supporting 24/7 disbursements via multiple South African banking rails (SDV, RTC, RPP). Their real-time bank account verification (BAVS) reduces failed payouts.</w:t>
      </w:r>
    </w:p>
    <w:p>
      <w:pPr>
        <w:spacing w:after="120"/>
      </w:pPr>
      <w:r>
        <w:rPr>
          <w:rFonts w:ascii="Arial" w:cs="Arial" w:eastAsia="Arial" w:hAnsi="Arial"/>
          <w:sz w:val="22"/>
          <w:szCs w:val="22"/>
        </w:rPr>
        <w:t xml:space="preserve">Combined with TradeSafe (South Africa's longest-running digital escrow service), this creates a robust architecture: Stitch collects business payments and handles participant payouts, while TradeSafe provides an optional escrow layer for holding funds until task approval is confirmed.</w:t>
      </w: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Custom enterprise pricing (contact required)</w:t>
      </w:r>
    </w:p>
    <w:p>
      <w:pPr>
        <w:spacing w:after="120"/>
      </w:pPr>
      <w:r>
        <w:rPr>
          <w:rFonts w:ascii="Arial" w:cs="Arial" w:eastAsia="Arial" w:hAnsi="Arial"/>
          <w:b/>
          <w:bCs/>
          <w:sz w:val="22"/>
          <w:szCs w:val="22"/>
        </w:rPr>
        <w:t xml:space="preserve">Acceptance risk: </w:t>
      </w:r>
      <w:r>
        <w:rPr>
          <w:rFonts w:ascii="Arial" w:cs="Arial" w:eastAsia="Arial" w:hAnsi="Arial"/>
          <w:sz w:val="22"/>
          <w:szCs w:val="22"/>
        </w:rPr>
        <w:t xml:space="preserve">Very low — Stitch explicitly serves gig/marketplace models</w:t>
      </w:r>
    </w:p>
    <w:p>
      <w:pPr>
        <w:pStyle w:val="Heading2"/>
        <w:spacing w:after="160" w:before="280"/>
      </w:pPr>
      <w:r>
        <w:rPr>
          <w:rFonts w:ascii="Arial" w:cs="Arial" w:eastAsia="Arial" w:hAnsi="Arial"/>
          <w:b/>
          <w:bCs/>
          <w:color w:val="1B4F72"/>
          <w:sz w:val="26"/>
          <w:szCs w:val="26"/>
        </w:rPr>
        <w:t xml:space="preserve">Option B: Peach Payments + TradeSafe (Alternative)</w:t>
      </w:r>
    </w:p>
    <w:p>
      <w:pPr>
        <w:spacing w:after="120"/>
      </w:pPr>
      <w:r>
        <w:rPr>
          <w:rFonts w:ascii="Arial" w:cs="Arial" w:eastAsia="Arial" w:hAnsi="Arial"/>
          <w:sz w:val="22"/>
          <w:szCs w:val="22"/>
        </w:rPr>
        <w:t xml:space="preserve">Peach Payments is a Cape Town-based provider with an explicit "Marketplaces" vertical. They offer real-time payouts to South African bank accounts with no payout fees, and transparent pricing at 2.85% + R0.99 per collection transaction. They partner with Stitch for Instant EFT, providing a low-cost collection option.</w:t>
      </w: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2.85% + R0.99 per transaction (transparent); no payout fees</w:t>
      </w:r>
    </w:p>
    <w:p>
      <w:pPr>
        <w:spacing w:after="120"/>
      </w:pPr>
      <w:r>
        <w:rPr>
          <w:rFonts w:ascii="Arial" w:cs="Arial" w:eastAsia="Arial" w:hAnsi="Arial"/>
          <w:b/>
          <w:bCs/>
          <w:sz w:val="22"/>
          <w:szCs w:val="22"/>
        </w:rPr>
        <w:t xml:space="preserve">Acceptance risk: </w:t>
      </w:r>
      <w:r>
        <w:rPr>
          <w:rFonts w:ascii="Arial" w:cs="Arial" w:eastAsia="Arial" w:hAnsi="Arial"/>
          <w:sz w:val="22"/>
          <w:szCs w:val="22"/>
        </w:rPr>
        <w:t xml:space="preserve">Very low — purpose-built marketplace vertical</w:t>
      </w:r>
    </w:p>
    <w:p>
      <w:pPr>
        <w:pStyle w:val="Heading2"/>
        <w:spacing w:after="160" w:before="280"/>
      </w:pPr>
      <w:r>
        <w:rPr>
          <w:rFonts w:ascii="Arial" w:cs="Arial" w:eastAsia="Arial" w:hAnsi="Arial"/>
          <w:b/>
          <w:bCs/>
          <w:color w:val="1B4F72"/>
          <w:sz w:val="26"/>
          <w:szCs w:val="26"/>
        </w:rPr>
        <w:t xml:space="preserve">Option C: Keep Stripe + Add Local Payout Partner</w:t>
      </w:r>
    </w:p>
    <w:p>
      <w:pPr>
        <w:spacing w:after="120"/>
      </w:pPr>
      <w:r>
        <w:rPr>
          <w:rFonts w:ascii="Arial" w:cs="Arial" w:eastAsia="Arial" w:hAnsi="Arial"/>
          <w:sz w:val="22"/>
          <w:szCs w:val="22"/>
        </w:rPr>
        <w:t xml:space="preserve">Since Stripe is already fully integrated for bounty funding, a pragmatic approach is to retain Stripe for collections (where it works well) and add Stitch or Peach specifically for local ZAR payouts to participants. This minimises code changes while solving the payout problem. Stripe's chargeback handling is mature, and the wallet pre-funding model already limits exposure.</w:t>
      </w:r>
    </w:p>
    <w:p>
      <w:pPr>
        <w:spacing w:after="120"/>
      </w:pPr>
      <w:r>
        <w:rPr>
          <w:rFonts w:ascii="Arial" w:cs="Arial" w:eastAsia="Arial" w:hAnsi="Arial"/>
          <w:b/>
          <w:bCs/>
          <w:sz w:val="22"/>
          <w:szCs w:val="22"/>
        </w:rPr>
        <w:t xml:space="preserve">Advantage: </w:t>
      </w:r>
      <w:r>
        <w:rPr>
          <w:rFonts w:ascii="Arial" w:cs="Arial" w:eastAsia="Arial" w:hAnsi="Arial"/>
          <w:sz w:val="22"/>
          <w:szCs w:val="22"/>
        </w:rPr>
        <w:t xml:space="preserve">Minimal code changes — Stripe stays for collections, new provider handles payouts only</w:t>
      </w:r>
    </w:p>
    <w:p>
      <w:r>
        <w:br w:type="page"/>
      </w:r>
    </w:p>
    <w:p>
      <w:pPr>
        <w:pStyle w:val="Heading1"/>
        <w:spacing w:after="200" w:before="360"/>
      </w:pPr>
      <w:r>
        <w:rPr>
          <w:rFonts w:ascii="Arial" w:cs="Arial" w:eastAsia="Arial" w:hAnsi="Arial"/>
          <w:b/>
          <w:bCs/>
          <w:color w:val="1B4F72"/>
          <w:sz w:val="32"/>
          <w:szCs w:val="32"/>
        </w:rPr>
        <w:t xml:space="preserve">6. Wallet-Based Chargeback Mitigation</w:t>
      </w:r>
    </w:p>
    <w:p>
      <w:pPr>
        <w:spacing w:after="120"/>
      </w:pPr>
      <w:r>
        <w:rPr>
          <w:rFonts w:ascii="Arial" w:cs="Arial" w:eastAsia="Arial" w:hAnsi="Arial"/>
          <w:sz w:val="22"/>
          <w:szCs w:val="22"/>
        </w:rPr>
        <w:t xml:space="preserve">The most important architectural decision — regardless of which gateway is chosen — is the wallet-based pre-funding model that Social Bounty already implements. This is what fundamentally changes the risk profile:</w:t>
      </w:r>
    </w:p>
    <w:p>
      <w:pPr>
        <w:pStyle w:val="ListParagraph"/>
        <w:numPr>
          <w:ilvl w:val="0"/>
          <w:numId w:val="2"/>
        </w:numPr>
        <w:spacing w:after="80"/>
      </w:pPr>
      <w:r>
        <w:rPr>
          <w:rFonts w:ascii="Arial" w:cs="Arial" w:eastAsia="Arial" w:hAnsi="Arial"/>
          <w:sz w:val="22"/>
          <w:szCs w:val="22"/>
        </w:rPr>
        <w:t xml:space="preserve">Business pre-funds wallet via card/EFT (single collection transaction with standard chargeback exposure)</w:t>
      </w:r>
    </w:p>
    <w:p>
      <w:pPr>
        <w:pStyle w:val="ListParagraph"/>
        <w:numPr>
          <w:ilvl w:val="0"/>
          <w:numId w:val="2"/>
        </w:numPr>
        <w:spacing w:after="80"/>
      </w:pPr>
      <w:r>
        <w:rPr>
          <w:rFonts w:ascii="Arial" w:cs="Arial" w:eastAsia="Arial" w:hAnsi="Arial"/>
          <w:sz w:val="22"/>
          <w:szCs w:val="22"/>
        </w:rPr>
        <w:t xml:space="preserve">Bounty reward is allocated from wallet balance (no new card charge = no chargeback possible)</w:t>
      </w:r>
    </w:p>
    <w:p>
      <w:pPr>
        <w:pStyle w:val="ListParagraph"/>
        <w:numPr>
          <w:ilvl w:val="0"/>
          <w:numId w:val="2"/>
        </w:numPr>
        <w:spacing w:after="80"/>
      </w:pPr>
      <w:r>
        <w:rPr>
          <w:rFonts w:ascii="Arial" w:cs="Arial" w:eastAsia="Arial" w:hAnsi="Arial"/>
          <w:sz w:val="22"/>
          <w:szCs w:val="22"/>
        </w:rPr>
        <w:t xml:space="preserve">Participant payout comes from held wallet funds (already settled, no reversal risk)</w:t>
      </w:r>
    </w:p>
    <w:p>
      <w:pPr>
        <w:pStyle w:val="ListParagraph"/>
        <w:numPr>
          <w:ilvl w:val="0"/>
          <w:numId w:val="2"/>
        </w:numPr>
        <w:spacing w:after="80"/>
      </w:pPr>
      <w:r>
        <w:rPr>
          <w:rFonts w:ascii="Arial" w:cs="Arial" w:eastAsia="Arial" w:hAnsi="Arial"/>
          <w:sz w:val="22"/>
          <w:szCs w:val="22"/>
        </w:rPr>
        <w:t xml:space="preserve">Disputes resolved internally via wallet adjustments, not payment reversals</w:t>
      </w:r>
    </w:p>
    <w:p>
      <w:pPr>
        <w:spacing w:after="120"/>
      </w:pPr>
      <w:r>
        <w:rPr>
          <w:rFonts w:ascii="Arial" w:cs="Arial" w:eastAsia="Arial" w:hAnsi="Arial"/>
          <w:sz w:val="22"/>
          <w:szCs w:val="22"/>
        </w:rPr>
        <w:t xml:space="preserve">When presenting to any payment provider, the wallet pre-funding model should be the centrepiece of the conversation. It transforms Social Bounty from a "high chargeback risk marketplace" into a "wallet-funded platform with internal settlement" — a fundamentally different risk category.</w:t>
      </w:r>
    </w:p>
    <w:p>
      <w:pPr>
        <w:pStyle w:val="Heading1"/>
        <w:spacing w:after="200" w:before="360"/>
      </w:pPr>
      <w:r>
        <w:rPr>
          <w:rFonts w:ascii="Arial" w:cs="Arial" w:eastAsia="Arial" w:hAnsi="Arial"/>
          <w:b/>
          <w:bCs/>
          <w:color w:val="1B4F72"/>
          <w:sz w:val="32"/>
          <w:szCs w:val="32"/>
        </w:rPr>
        <w:t xml:space="preserve">7. Fee Comparison (R500 Bounty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Collection Fee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Payout Fee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Stitch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(custom)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~R10-15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Peach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2.85% + R0.99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~R15.24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(current)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 + R5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~R19.50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Ozow + Stitch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~R8-15</w:t>
            </w:r>
          </w:p>
        </w:tc>
      </w:tr>
    </w:tbl>
    <w:p>
      <w:pPr>
        <w:spacing w:after="120"/>
      </w:pPr>
      <w:r>
        <w:rPr>
          <w:rFonts w:ascii="Arial" w:cs="Arial" w:eastAsia="Arial" w:hAnsi="Arial"/>
          <w:sz w:val="22"/>
          <w:szCs w:val="22"/>
        </w:rPr>
        <w:t xml:space="preserve"/>
      </w:r>
    </w:p>
    <w:p>
      <w:pPr>
        <w:pStyle w:val="Heading1"/>
        <w:spacing w:after="200" w:before="360"/>
      </w:pPr>
      <w:r>
        <w:rPr>
          <w:rFonts w:ascii="Arial" w:cs="Arial" w:eastAsia="Arial" w:hAnsi="Arial"/>
          <w:b/>
          <w:bCs/>
          <w:color w:val="1B4F72"/>
          <w:sz w:val="32"/>
          <w:szCs w:val="32"/>
        </w:rPr>
        <w:t xml:space="preserve">8. Implementation Impact on Codebase</w:t>
      </w:r>
    </w:p>
    <w:p>
      <w:pPr>
        <w:spacing w:after="120"/>
      </w:pPr>
      <w:r>
        <w:rPr>
          <w:rFonts w:ascii="Arial" w:cs="Arial" w:eastAsia="Arial" w:hAnsi="Arial"/>
          <w:sz w:val="22"/>
          <w:szCs w:val="22"/>
        </w:rPr>
        <w:t xml:space="preserve">The current codebase is well-structured for gateway flexibility. The key integration points are:</w:t>
      </w:r>
    </w:p>
    <w:p>
      <w:pPr>
        <w:spacing w:after="120"/>
      </w:pPr>
      <w:r>
        <w:rPr>
          <w:rFonts w:ascii="Arial" w:cs="Arial" w:eastAsia="Arial" w:hAnsi="Arial"/>
          <w:b/>
          <w:bCs/>
          <w:sz w:val="22"/>
          <w:szCs w:val="22"/>
        </w:rPr>
        <w:t xml:space="preserve">Payment module: </w:t>
      </w:r>
      <w:r>
        <w:rPr>
          <w:rFonts w:ascii="Arial" w:cs="Arial" w:eastAsia="Arial" w:hAnsi="Arial"/>
          <w:sz w:val="22"/>
          <w:szCs w:val="22"/>
        </w:rPr>
        <w:t xml:space="preserve">apps/api/src/modules/payments/ — currently Stripe-specific but cleanly separated</w:t>
      </w:r>
    </w:p>
    <w:p>
      <w:pPr>
        <w:spacing w:after="120"/>
      </w:pPr>
      <w:r>
        <w:rPr>
          <w:rFonts w:ascii="Arial" w:cs="Arial" w:eastAsia="Arial" w:hAnsi="Arial"/>
          <w:b/>
          <w:bCs/>
          <w:sz w:val="22"/>
          <w:szCs w:val="22"/>
        </w:rPr>
        <w:t xml:space="preserve">Wallet module: </w:t>
      </w:r>
      <w:r>
        <w:rPr>
          <w:rFonts w:ascii="Arial" w:cs="Arial" w:eastAsia="Arial" w:hAnsi="Arial"/>
          <w:sz w:val="22"/>
          <w:szCs w:val="22"/>
        </w:rPr>
        <w:t xml:space="preserve">apps/api/src/modules/wallet/ — gateway-agnostic, works with any funding source</w:t>
      </w:r>
    </w:p>
    <w:p>
      <w:pPr>
        <w:spacing w:after="120"/>
      </w:pPr>
      <w:r>
        <w:rPr>
          <w:rFonts w:ascii="Arial" w:cs="Arial" w:eastAsia="Arial" w:hAnsi="Arial"/>
          <w:b/>
          <w:bCs/>
          <w:sz w:val="22"/>
          <w:szCs w:val="22"/>
        </w:rPr>
        <w:t xml:space="preserve">Withdrawal module: </w:t>
      </w:r>
      <w:r>
        <w:rPr>
          <w:rFonts w:ascii="Arial" w:cs="Arial" w:eastAsia="Arial" w:hAnsi="Arial"/>
          <w:sz w:val="22"/>
          <w:szCs w:val="22"/>
        </w:rPr>
        <w:t xml:space="preserve">Part of wallet module — supports PayPal, Bank Transfer, E-Wallet methods</w:t>
      </w:r>
    </w:p>
    <w:p>
      <w:pPr>
        <w:spacing w:after="120"/>
      </w:pPr>
      <w:r>
        <w:rPr>
          <w:rFonts w:ascii="Arial" w:cs="Arial" w:eastAsia="Arial" w:hAnsi="Arial"/>
          <w:sz w:val="22"/>
          <w:szCs w:val="22"/>
        </w:rPr>
        <w:t xml:space="preserve">For Option C (keep Stripe + add payout partner), the changes are minimal: add a new payout service that integrates with Stitch/Peach for disbursements, and update the withdrawal processing workflow to call the new provider. The wallet, transaction ledger, and admin interfaces remain unchanged.</w:t>
      </w:r>
    </w:p>
    <w:p>
      <w:pPr>
        <w:spacing w:after="120"/>
      </w:pPr>
      <w:r>
        <w:rPr>
          <w:rFonts w:ascii="Arial" w:cs="Arial" w:eastAsia="Arial" w:hAnsi="Arial"/>
          <w:sz w:val="22"/>
          <w:szCs w:val="22"/>
        </w:rPr>
        <w:t xml:space="preserve">For Options A/B (full gateway replacement), the payment module would need refactoring to replace Stripe with the new provider. The PaymentDialog frontend component would need updating, and webhook handlers would change. Estimated effort is 2-3 sprints.</w:t>
      </w:r>
    </w:p>
    <w:p>
      <w:pPr>
        <w:pStyle w:val="Heading1"/>
        <w:spacing w:after="200" w:before="360"/>
      </w:pPr>
      <w:r>
        <w:rPr>
          <w:rFonts w:ascii="Arial" w:cs="Arial" w:eastAsia="Arial" w:hAnsi="Arial"/>
          <w:b/>
          <w:bCs/>
          <w:color w:val="1B4F72"/>
          <w:sz w:val="32"/>
          <w:szCs w:val="32"/>
        </w:rPr>
        <w:t xml:space="preserve">9. Recommended Next Steps</w:t>
      </w:r>
    </w:p>
    <w:p>
      <w:pPr>
        <w:pStyle w:val="ListParagraph"/>
        <w:numPr>
          <w:ilvl w:val="0"/>
          <w:numId w:val="2"/>
        </w:numPr>
        <w:spacing w:after="100"/>
      </w:pPr>
      <w:r>
        <w:rPr>
          <w:rFonts w:ascii="Arial" w:cs="Arial" w:eastAsia="Arial" w:hAnsi="Arial"/>
          <w:sz w:val="22"/>
          <w:szCs w:val="22"/>
        </w:rPr>
        <w:t xml:space="preserve">Contact Stitch Money and Peach Payments for marketplace onboarding conversations. Emphasise the wallet pre-funding model and existing Stripe integration.</w:t>
      </w:r>
    </w:p>
    <w:p>
      <w:pPr>
        <w:pStyle w:val="ListParagraph"/>
        <w:numPr>
          <w:ilvl w:val="0"/>
          <w:numId w:val="2"/>
        </w:numPr>
        <w:spacing w:after="100"/>
      </w:pPr>
      <w:r>
        <w:rPr>
          <w:rFonts w:ascii="Arial" w:cs="Arial" w:eastAsia="Arial" w:hAnsi="Arial"/>
          <w:sz w:val="22"/>
          <w:szCs w:val="22"/>
        </w:rPr>
        <w:t xml:space="preserve">Request sandbox/test credentials from both providers to evaluate API quality and integration effort.</w:t>
      </w:r>
    </w:p>
    <w:p>
      <w:pPr>
        <w:pStyle w:val="ListParagraph"/>
        <w:numPr>
          <w:ilvl w:val="0"/>
          <w:numId w:val="2"/>
        </w:numPr>
        <w:spacing w:after="100"/>
      </w:pPr>
      <w:r>
        <w:rPr>
          <w:rFonts w:ascii="Arial" w:cs="Arial" w:eastAsia="Arial" w:hAnsi="Arial"/>
          <w:sz w:val="22"/>
          <w:szCs w:val="22"/>
        </w:rPr>
        <w:t xml:space="preserve">Evaluate TradeSafe escrow API for bounty fund holding (optional but strengthens compliance story).</w:t>
      </w:r>
    </w:p>
    <w:p>
      <w:pPr>
        <w:pStyle w:val="ListParagraph"/>
        <w:numPr>
          <w:ilvl w:val="0"/>
          <w:numId w:val="2"/>
        </w:numPr>
        <w:spacing w:after="100"/>
      </w:pPr>
      <w:r>
        <w:rPr>
          <w:rFonts w:ascii="Arial" w:cs="Arial" w:eastAsia="Arial" w:hAnsi="Arial"/>
          <w:sz w:val="22"/>
          <w:szCs w:val="22"/>
        </w:rPr>
        <w:t xml:space="preserve">Decide between full gateway replacement vs. Stripe + local payout partner hybrid approach.</w:t>
      </w:r>
    </w:p>
    <w:p>
      <w:pPr>
        <w:pStyle w:val="ListParagraph"/>
        <w:numPr>
          <w:ilvl w:val="0"/>
          <w:numId w:val="2"/>
        </w:numPr>
        <w:spacing w:after="100"/>
      </w:pPr>
      <w:r>
        <w:rPr>
          <w:rFonts w:ascii="Arial" w:cs="Arial" w:eastAsia="Arial" w:hAnsi="Arial"/>
          <w:sz w:val="22"/>
          <w:szCs w:val="22"/>
        </w:rPr>
        <w:t xml:space="preserve">Update the PayoutMethod enum to include Stitch/Peach-specific methods if needed.</w:t>
      </w:r>
    </w:p>
    <w:p>
      <w:pPr>
        <w:pStyle w:val="ListParagraph"/>
        <w:numPr>
          <w:ilvl w:val="0"/>
          <w:numId w:val="2"/>
        </w:numPr>
        <w:spacing w:after="100"/>
      </w:pPr>
      <w:r>
        <w:rPr>
          <w:rFonts w:ascii="Arial" w:cs="Arial" w:eastAsia="Arial" w:hAnsi="Arial"/>
          <w:sz w:val="22"/>
          <w:szCs w:val="22"/>
        </w:rPr>
        <w:t xml:space="preserve">Prepare a one-pager for gateway providers explaining Social Bounty's model, wallet architecture, and dispute resolution flow.</w:t>
      </w:r>
    </w:p>
    <w:p>
      <w:pPr>
        <w:spacing w:after="120"/>
      </w:pPr>
      <w:r>
        <w:rPr>
          <w:rFonts w:ascii="Arial" w:cs="Arial" w:eastAsia="Arial" w:hAnsi="Arial"/>
          <w:sz w:val="22"/>
          <w:szCs w:val="22"/>
        </w:rPr>
        <w:t xml:space="preserve"/>
      </w:r>
    </w:p>
    <w:p>
      <w:pPr>
        <w:spacing w:after="120"/>
      </w:pPr>
      <w:r>
        <w:rPr>
          <w:rFonts w:ascii="Arial" w:cs="Arial" w:eastAsia="Arial" w:hAnsi="Arial"/>
          <w:i/>
          <w:iCs/>
          <w:color w:val="555555"/>
          <w:sz w:val="22"/>
          <w:szCs w:val="22"/>
        </w:rPr>
        <w:t xml:space="preserve">The Paystack rejection, while frustrating, is an opportunity to choose a provider that is purpose-built for marketplace platforms. Both Stitch and Peach are stronger fits for Social Bounty's model than Paystack would have been.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Social Bounty — Payment Gateway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2026-04-09T11:49:15.549Z</dcterms:created>
  <dcterms:modified xsi:type="dcterms:W3CDTF">2026-04-09T11:49:15.549Z</dcterms:modified>
</cp:coreProperties>
</file>

<file path=docProps/custom.xml><?xml version="1.0" encoding="utf-8"?>
<Properties xmlns="http://schemas.openxmlformats.org/officeDocument/2006/custom-properties" xmlns:vt="http://schemas.openxmlformats.org/officeDocument/2006/docPropsVTypes"/>
</file>