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Default="00CA25B2" w:rsidP="00CB1D05">
      <w:pPr>
        <w:pStyle w:val="a3"/>
        <w:ind w:left="1080" w:firstLineChars="0" w:firstLine="0"/>
        <w:rPr>
          <w:rFonts w:ascii="Times New Roman" w:hAnsi="Times New Roman" w:cs="Times New Roman" w:hint="eastAsia"/>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F60F49" w:rsidRPr="00F60F49" w:rsidRDefault="00F60F49" w:rsidP="00CC47CC">
      <w:pPr>
        <w:pStyle w:val="a3"/>
        <w:ind w:left="420" w:firstLineChars="0" w:firstLine="0"/>
        <w:outlineLvl w:val="1"/>
        <w:rPr>
          <w:rFonts w:ascii="Times New Roman" w:hAnsi="Times New Roman" w:cs="Times New Roman"/>
          <w:b/>
          <w:sz w:val="32"/>
          <w:szCs w:val="24"/>
        </w:rPr>
      </w:pPr>
      <w:r w:rsidRPr="00F60F49">
        <w:rPr>
          <w:rFonts w:ascii="Times New Roman" w:hAnsi="Times New Roman" w:cs="Times New Roman" w:hint="eastAsia"/>
          <w:b/>
          <w:sz w:val="32"/>
          <w:szCs w:val="24"/>
        </w:rPr>
        <w:lastRenderedPageBreak/>
        <w:t>Question Types</w:t>
      </w:r>
    </w:p>
    <w:p w:rsidR="00294791" w:rsidRPr="00775AE2" w:rsidRDefault="00294791" w:rsidP="00CC47CC">
      <w:pPr>
        <w:pStyle w:val="a3"/>
        <w:numPr>
          <w:ilvl w:val="0"/>
          <w:numId w:val="41"/>
        </w:numPr>
        <w:ind w:left="1077" w:firstLineChars="0" w:hanging="357"/>
        <w:outlineLvl w:val="2"/>
        <w:rPr>
          <w:rFonts w:ascii="Times New Roman" w:hAnsi="Times New Roman" w:cs="Times New Roman"/>
          <w:b/>
          <w:bCs/>
          <w:sz w:val="28"/>
          <w:szCs w:val="28"/>
        </w:rPr>
      </w:pPr>
      <w:r w:rsidRPr="00775AE2">
        <w:rPr>
          <w:rFonts w:ascii="Times New Roman" w:hAnsi="Times New Roman" w:cs="Times New Roman" w:hint="eastAsia"/>
          <w:b/>
          <w:bCs/>
          <w:sz w:val="28"/>
          <w:szCs w:val="28"/>
        </w:rPr>
        <w:t>Multiple Choice Tips</w:t>
      </w:r>
    </w:p>
    <w:p w:rsidR="00294791" w:rsidRDefault="00294791" w:rsidP="00500D18">
      <w:pPr>
        <w:pStyle w:val="a3"/>
        <w:numPr>
          <w:ilvl w:val="0"/>
          <w:numId w:val="29"/>
        </w:numPr>
        <w:ind w:left="1437" w:firstLineChars="0"/>
        <w:rPr>
          <w:rFonts w:ascii="Times New Roman" w:hAnsi="Times New Roman" w:cs="Times New Roman"/>
          <w:sz w:val="24"/>
          <w:szCs w:val="24"/>
        </w:rPr>
      </w:pPr>
      <w:bookmarkStart w:id="0" w:name="_GoBack"/>
      <w:r>
        <w:rPr>
          <w:rFonts w:ascii="Times New Roman" w:hAnsi="Times New Roman" w:cs="Times New Roman" w:hint="eastAsia"/>
          <w:sz w:val="24"/>
          <w:szCs w:val="24"/>
        </w:rPr>
        <w:t>Look for the title.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Default="00917AEA" w:rsidP="00500D18">
      <w:pPr>
        <w:pStyle w:val="a3"/>
        <w:ind w:left="1437"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Answers do not follow the order of the options. </w:t>
      </w:r>
    </w:p>
    <w:bookmarkEnd w:id="0"/>
    <w:p w:rsidR="00D549D8" w:rsidRPr="0078312B" w:rsidRDefault="00D549D8" w:rsidP="0078312B">
      <w:pPr>
        <w:pStyle w:val="a3"/>
        <w:numPr>
          <w:ilvl w:val="0"/>
          <w:numId w:val="41"/>
        </w:numPr>
        <w:ind w:left="1077" w:firstLineChars="0" w:hanging="357"/>
        <w:outlineLvl w:val="2"/>
        <w:rPr>
          <w:rFonts w:ascii="Times New Roman" w:hAnsi="Times New Roman" w:cs="Times New Roman" w:hint="eastAsia"/>
          <w:b/>
          <w:bCs/>
          <w:sz w:val="28"/>
          <w:szCs w:val="28"/>
        </w:rPr>
      </w:pPr>
      <w:r w:rsidRPr="0078312B">
        <w:rPr>
          <w:rFonts w:ascii="Times New Roman" w:hAnsi="Times New Roman" w:cs="Times New Roman" w:hint="eastAsia"/>
          <w:b/>
          <w:bCs/>
          <w:sz w:val="28"/>
          <w:szCs w:val="28"/>
        </w:rPr>
        <w:t>Summary Completion Tips</w:t>
      </w:r>
    </w:p>
    <w:p w:rsidR="00E866DE" w:rsidRDefault="00E866DE" w:rsidP="00D549D8">
      <w:pPr>
        <w:pStyle w:val="a3"/>
        <w:numPr>
          <w:ilvl w:val="0"/>
          <w:numId w:val="42"/>
        </w:numPr>
        <w:ind w:firstLineChars="0"/>
        <w:rPr>
          <w:rFonts w:ascii="Times New Roman" w:hAnsi="Times New Roman" w:cs="Times New Roman" w:hint="eastAsia"/>
          <w:sz w:val="24"/>
          <w:szCs w:val="24"/>
        </w:rPr>
      </w:pPr>
      <w:r>
        <w:rPr>
          <w:rFonts w:ascii="Times New Roman" w:hAnsi="Times New Roman" w:cs="Times New Roman" w:hint="eastAsia"/>
          <w:sz w:val="24"/>
          <w:szCs w:val="24"/>
        </w:rPr>
        <w:t xml:space="preserve">Read </w:t>
      </w:r>
      <w:r>
        <w:rPr>
          <w:rFonts w:ascii="Times New Roman" w:hAnsi="Times New Roman" w:cs="Times New Roman"/>
          <w:sz w:val="24"/>
          <w:szCs w:val="24"/>
        </w:rPr>
        <w:t>t</w:t>
      </w:r>
      <w:r>
        <w:rPr>
          <w:rFonts w:ascii="Times New Roman" w:hAnsi="Times New Roman" w:cs="Times New Roman" w:hint="eastAsia"/>
          <w:sz w:val="24"/>
          <w:szCs w:val="24"/>
        </w:rPr>
        <w:t xml:space="preserve">he instrucion thoroughly to know how many words and numbers that you can fill in the blanks. </w:t>
      </w:r>
    </w:p>
    <w:p w:rsidR="00D549D8" w:rsidRDefault="00D549D8" w:rsidP="00D549D8">
      <w:pPr>
        <w:pStyle w:val="a3"/>
        <w:numPr>
          <w:ilvl w:val="0"/>
          <w:numId w:val="42"/>
        </w:numPr>
        <w:ind w:firstLineChars="0"/>
        <w:rPr>
          <w:rFonts w:ascii="Times New Roman" w:hAnsi="Times New Roman" w:cs="Times New Roman" w:hint="eastAsia"/>
          <w:sz w:val="24"/>
          <w:szCs w:val="24"/>
        </w:rPr>
      </w:pPr>
      <w:r>
        <w:rPr>
          <w:rFonts w:ascii="Times New Roman" w:hAnsi="Times New Roman" w:cs="Times New Roman" w:hint="eastAsia"/>
          <w:sz w:val="24"/>
          <w:szCs w:val="24"/>
        </w:rPr>
        <w:t>Read the title which will tell you what the paragraph focus on.</w:t>
      </w:r>
    </w:p>
    <w:p w:rsidR="00D549D8" w:rsidRDefault="00D549D8" w:rsidP="00D549D8">
      <w:pPr>
        <w:pStyle w:val="a3"/>
        <w:numPr>
          <w:ilvl w:val="0"/>
          <w:numId w:val="42"/>
        </w:numPr>
        <w:ind w:firstLineChars="0"/>
        <w:rPr>
          <w:rFonts w:ascii="Times New Roman" w:hAnsi="Times New Roman" w:cs="Times New Roman" w:hint="eastAsia"/>
          <w:sz w:val="24"/>
          <w:szCs w:val="24"/>
        </w:rPr>
      </w:pPr>
      <w:r>
        <w:rPr>
          <w:rFonts w:ascii="Times New Roman" w:hAnsi="Times New Roman" w:cs="Times New Roman" w:hint="eastAsia"/>
          <w:sz w:val="24"/>
          <w:szCs w:val="24"/>
        </w:rPr>
        <w:t>The answers will come in order.</w:t>
      </w:r>
    </w:p>
    <w:p w:rsidR="006E48EA" w:rsidRDefault="006E48EA" w:rsidP="00D549D8">
      <w:pPr>
        <w:pStyle w:val="a3"/>
        <w:numPr>
          <w:ilvl w:val="0"/>
          <w:numId w:val="42"/>
        </w:numPr>
        <w:ind w:firstLineChars="0"/>
        <w:rPr>
          <w:rFonts w:ascii="Times New Roman" w:hAnsi="Times New Roman" w:cs="Times New Roman" w:hint="eastAsia"/>
          <w:sz w:val="24"/>
          <w:szCs w:val="24"/>
        </w:rPr>
      </w:pPr>
      <w:r>
        <w:rPr>
          <w:rFonts w:ascii="Times New Roman" w:hAnsi="Times New Roman" w:cs="Times New Roman" w:hint="eastAsia"/>
          <w:sz w:val="24"/>
          <w:szCs w:val="24"/>
        </w:rPr>
        <w:t>Precise words. Your answer must be the precise word from the recording and you can</w:t>
      </w:r>
      <w:r>
        <w:rPr>
          <w:rFonts w:ascii="Times New Roman" w:hAnsi="Times New Roman" w:cs="Times New Roman"/>
          <w:sz w:val="24"/>
          <w:szCs w:val="24"/>
        </w:rPr>
        <w:t>’</w:t>
      </w:r>
      <w:r w:rsidR="00597B3A">
        <w:rPr>
          <w:rFonts w:ascii="Times New Roman" w:hAnsi="Times New Roman" w:cs="Times New Roman" w:hint="eastAsia"/>
          <w:sz w:val="24"/>
          <w:szCs w:val="24"/>
        </w:rPr>
        <w:t xml:space="preserve">t alter word. </w:t>
      </w:r>
    </w:p>
    <w:p w:rsidR="006E654F" w:rsidRPr="00D549D8" w:rsidRDefault="006E654F"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Your answer must be grammatically correct when it is put in the sentence.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937A99" w:rsidRDefault="00937A99"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Avoid basic grammatical errors if you </w:t>
      </w:r>
      <w:r>
        <w:rPr>
          <w:rFonts w:ascii="Times New Roman" w:hAnsi="Times New Roman" w:cs="Times New Roman"/>
          <w:sz w:val="24"/>
          <w:szCs w:val="24"/>
        </w:rPr>
        <w:t>w</w:t>
      </w:r>
      <w:r>
        <w:rPr>
          <w:rFonts w:ascii="Times New Roman" w:hAnsi="Times New Roman" w:cs="Times New Roman" w:hint="eastAsia"/>
          <w:sz w:val="24"/>
          <w:szCs w:val="24"/>
        </w:rPr>
        <w:t xml:space="preserve">ant to get band 7. </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lang w:val="en-GB"/>
        </w:rPr>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8"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9"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If you made mistakes on complex grammar, that’s OK, but if made </w:t>
      </w:r>
      <w:r w:rsidRPr="003F7833">
        <w:rPr>
          <w:rFonts w:ascii="Times New Roman" w:hAnsi="Times New Roman" w:cs="Times New Roman"/>
          <w:sz w:val="24"/>
          <w:szCs w:val="24"/>
        </w:rPr>
        <w:lastRenderedPageBreak/>
        <w:t>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E96F16" w:rsidP="00950805">
      <w:pPr>
        <w:pStyle w:val="a3"/>
        <w:ind w:left="720" w:firstLineChars="0" w:firstLine="0"/>
        <w:rPr>
          <w:rFonts w:ascii="Times New Roman" w:hAnsi="Times New Roman" w:cs="Times New Roman"/>
          <w:sz w:val="24"/>
          <w:szCs w:val="24"/>
          <w:lang w:val="en-GB"/>
        </w:rPr>
      </w:pPr>
      <w:hyperlink r:id="rId11"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lastRenderedPageBreak/>
        <w:t xml:space="preserve">Reliable Resources: </w:t>
      </w:r>
    </w:p>
    <w:p w:rsidR="0018753E" w:rsidRDefault="00E96F16" w:rsidP="00110502">
      <w:pPr>
        <w:ind w:left="300" w:firstLine="420"/>
        <w:rPr>
          <w:rFonts w:ascii="Times New Roman" w:hAnsi="Times New Roman" w:cs="Times New Roman"/>
          <w:sz w:val="24"/>
          <w:szCs w:val="24"/>
          <w:lang w:val="en-GB"/>
        </w:rPr>
      </w:pPr>
      <w:hyperlink r:id="rId12"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E96F16" w:rsidP="00024A5A">
      <w:pPr>
        <w:ind w:left="720"/>
        <w:rPr>
          <w:rFonts w:ascii="Times New Roman" w:hAnsi="Times New Roman" w:cs="Times New Roman"/>
          <w:sz w:val="24"/>
          <w:szCs w:val="24"/>
          <w:lang w:val="en-GB"/>
        </w:rPr>
      </w:pPr>
      <w:hyperlink r:id="rId13"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E96F16" w:rsidP="00452189">
      <w:pPr>
        <w:ind w:left="720"/>
      </w:pPr>
      <w:hyperlink r:id="rId14"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E96F16" w:rsidP="00BF69D5">
      <w:pPr>
        <w:ind w:left="360"/>
        <w:rPr>
          <w:rFonts w:ascii="Times New Roman" w:hAnsi="Times New Roman" w:cs="Times New Roman"/>
          <w:sz w:val="24"/>
          <w:szCs w:val="24"/>
          <w:lang w:val="en-GB"/>
        </w:rPr>
      </w:pPr>
      <w:hyperlink r:id="rId15"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 xml:space="preserve">keep </w:t>
      </w:r>
      <w:r w:rsidR="00922CC7" w:rsidRPr="003F7833">
        <w:rPr>
          <w:rFonts w:ascii="Times New Roman" w:hAnsi="Times New Roman" w:cs="Times New Roman"/>
          <w:sz w:val="24"/>
          <w:szCs w:val="24"/>
        </w:rPr>
        <w:lastRenderedPageBreak/>
        <w:t>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w:t>
      </w:r>
      <w:r w:rsidR="001116C7">
        <w:rPr>
          <w:rFonts w:ascii="Times New Roman" w:hAnsi="Times New Roman" w:cs="Times New Roman" w:hint="eastAsia"/>
          <w:sz w:val="24"/>
          <w:szCs w:val="24"/>
        </w:rPr>
        <w:t>Therefore</w:t>
      </w:r>
      <w:r w:rsidR="0091363D">
        <w:rPr>
          <w:rFonts w:ascii="Times New Roman" w:hAnsi="Times New Roman" w:cs="Times New Roman" w:hint="eastAsia"/>
          <w:sz w:val="24"/>
          <w:szCs w:val="24"/>
        </w:rPr>
        <w:t xml:space="preserv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lastRenderedPageBreak/>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6"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7"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8"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w:t>
      </w:r>
      <w:r w:rsidR="00AD6382">
        <w:rPr>
          <w:rFonts w:ascii="Times New Roman" w:hAnsi="Times New Roman" w:cs="Times New Roman" w:hint="eastAsia"/>
          <w:sz w:val="24"/>
          <w:szCs w:val="24"/>
        </w:rPr>
        <w:t>t</w:t>
      </w:r>
      <w:r w:rsidRPr="003F7833">
        <w:rPr>
          <w:rFonts w:ascii="Times New Roman" w:hAnsi="Times New Roman" w:cs="Times New Roman"/>
          <w:sz w:val="24"/>
          <w:szCs w:val="24"/>
        </w:rPr>
        <w:t>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F16" w:rsidRDefault="00E96F16" w:rsidP="004811CF">
      <w:r>
        <w:separator/>
      </w:r>
    </w:p>
  </w:endnote>
  <w:endnote w:type="continuationSeparator" w:id="0">
    <w:p w:rsidR="00E96F16" w:rsidRDefault="00E96F16"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F16" w:rsidRDefault="00E96F16" w:rsidP="004811CF">
      <w:r>
        <w:separator/>
      </w:r>
    </w:p>
  </w:footnote>
  <w:footnote w:type="continuationSeparator" w:id="0">
    <w:p w:rsidR="00E96F16" w:rsidRDefault="00E96F16"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0F50BC"/>
    <w:multiLevelType w:val="hybridMultilevel"/>
    <w:tmpl w:val="6E16DC6A"/>
    <w:lvl w:ilvl="0" w:tplc="97F2B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0E1389A"/>
    <w:multiLevelType w:val="hybridMultilevel"/>
    <w:tmpl w:val="942CCF66"/>
    <w:lvl w:ilvl="0" w:tplc="0D5A7F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9">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3">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5"/>
  </w:num>
  <w:num w:numId="2">
    <w:abstractNumId w:val="21"/>
  </w:num>
  <w:num w:numId="3">
    <w:abstractNumId w:val="18"/>
  </w:num>
  <w:num w:numId="4">
    <w:abstractNumId w:val="4"/>
  </w:num>
  <w:num w:numId="5">
    <w:abstractNumId w:val="2"/>
  </w:num>
  <w:num w:numId="6">
    <w:abstractNumId w:val="22"/>
  </w:num>
  <w:num w:numId="7">
    <w:abstractNumId w:val="5"/>
  </w:num>
  <w:num w:numId="8">
    <w:abstractNumId w:val="27"/>
  </w:num>
  <w:num w:numId="9">
    <w:abstractNumId w:val="31"/>
  </w:num>
  <w:num w:numId="10">
    <w:abstractNumId w:val="16"/>
  </w:num>
  <w:num w:numId="11">
    <w:abstractNumId w:val="11"/>
  </w:num>
  <w:num w:numId="12">
    <w:abstractNumId w:val="33"/>
  </w:num>
  <w:num w:numId="13">
    <w:abstractNumId w:val="37"/>
  </w:num>
  <w:num w:numId="14">
    <w:abstractNumId w:val="34"/>
  </w:num>
  <w:num w:numId="15">
    <w:abstractNumId w:val="10"/>
  </w:num>
  <w:num w:numId="16">
    <w:abstractNumId w:val="35"/>
  </w:num>
  <w:num w:numId="17">
    <w:abstractNumId w:val="39"/>
  </w:num>
  <w:num w:numId="18">
    <w:abstractNumId w:val="12"/>
  </w:num>
  <w:num w:numId="19">
    <w:abstractNumId w:val="30"/>
  </w:num>
  <w:num w:numId="20">
    <w:abstractNumId w:val="19"/>
  </w:num>
  <w:num w:numId="21">
    <w:abstractNumId w:val="32"/>
  </w:num>
  <w:num w:numId="22">
    <w:abstractNumId w:val="20"/>
  </w:num>
  <w:num w:numId="23">
    <w:abstractNumId w:val="24"/>
  </w:num>
  <w:num w:numId="24">
    <w:abstractNumId w:val="13"/>
  </w:num>
  <w:num w:numId="25">
    <w:abstractNumId w:val="41"/>
  </w:num>
  <w:num w:numId="26">
    <w:abstractNumId w:val="29"/>
  </w:num>
  <w:num w:numId="27">
    <w:abstractNumId w:val="15"/>
  </w:num>
  <w:num w:numId="28">
    <w:abstractNumId w:val="28"/>
  </w:num>
  <w:num w:numId="29">
    <w:abstractNumId w:val="7"/>
  </w:num>
  <w:num w:numId="30">
    <w:abstractNumId w:val="26"/>
  </w:num>
  <w:num w:numId="31">
    <w:abstractNumId w:val="40"/>
  </w:num>
  <w:num w:numId="32">
    <w:abstractNumId w:val="23"/>
  </w:num>
  <w:num w:numId="33">
    <w:abstractNumId w:val="1"/>
  </w:num>
  <w:num w:numId="34">
    <w:abstractNumId w:val="0"/>
  </w:num>
  <w:num w:numId="35">
    <w:abstractNumId w:val="38"/>
  </w:num>
  <w:num w:numId="36">
    <w:abstractNumId w:val="17"/>
  </w:num>
  <w:num w:numId="37">
    <w:abstractNumId w:val="14"/>
  </w:num>
  <w:num w:numId="38">
    <w:abstractNumId w:val="9"/>
  </w:num>
  <w:num w:numId="39">
    <w:abstractNumId w:val="36"/>
  </w:num>
  <w:num w:numId="40">
    <w:abstractNumId w:val="8"/>
  </w:num>
  <w:num w:numId="41">
    <w:abstractNumId w:val="3"/>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16C7"/>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0D18"/>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97B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B463D"/>
    <w:rsid w:val="006C03D6"/>
    <w:rsid w:val="006C24E9"/>
    <w:rsid w:val="006C3490"/>
    <w:rsid w:val="006D0146"/>
    <w:rsid w:val="006D6003"/>
    <w:rsid w:val="006D62A9"/>
    <w:rsid w:val="006D691A"/>
    <w:rsid w:val="006D7E8E"/>
    <w:rsid w:val="006E131A"/>
    <w:rsid w:val="006E3BDD"/>
    <w:rsid w:val="006E483D"/>
    <w:rsid w:val="006E48EA"/>
    <w:rsid w:val="006E654F"/>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5AE2"/>
    <w:rsid w:val="0077758E"/>
    <w:rsid w:val="00780C36"/>
    <w:rsid w:val="0078312B"/>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37A99"/>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6382"/>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47CC"/>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549D8"/>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66DE"/>
    <w:rsid w:val="00E87230"/>
    <w:rsid w:val="00E9008D"/>
    <w:rsid w:val="00E96F16"/>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03B9"/>
    <w:rsid w:val="00EF21CC"/>
    <w:rsid w:val="00EF341A"/>
    <w:rsid w:val="00EF42C9"/>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0F4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 w:val="00FF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ns.gov.uk/employmentandlabourmarket/peopleinwork/labourproductivity/articles/ukproductivityintroduction/julytoseptember2022" TargetMode="External"/><Relationship Id="rId18"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bbc.co.uk/bitesize/topics/zsg6m39/articles/zhmbvw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utorials/Master%20Line%20Charts%20for%20IELTS%20Academic%20Task%201.html" TargetMode="External"/><Relationship Id="rId5" Type="http://schemas.openxmlformats.org/officeDocument/2006/relationships/webSettings" Target="webSettings.xml"/><Relationship Id="rId15" Type="http://schemas.openxmlformats.org/officeDocument/2006/relationships/hyperlink" Target="https://www.statista.com/chart/33964/afds-share-of-the-vote-in-recent-and-upcoming-election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earsenglish.com/ie-8-how-can-you-correct-your-own-writing-for-the-ielts-writing-section" TargetMode="External"/><Relationship Id="rId14" Type="http://schemas.openxmlformats.org/officeDocument/2006/relationships/hyperlink" Target="https://www.wikihow.com/Read-Graph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12</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596</cp:revision>
  <dcterms:created xsi:type="dcterms:W3CDTF">2024-05-23T00:43:00Z</dcterms:created>
  <dcterms:modified xsi:type="dcterms:W3CDTF">2025-05-14T02:03:00Z</dcterms:modified>
</cp:coreProperties>
</file>