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lastRenderedPageBreak/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lastRenderedPageBreak/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lastRenderedPageBreak/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lastRenderedPageBreak/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 xml:space="preserve">be identical to sb./sth.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 xml:space="preserve">be identical with sb./sth.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lastRenderedPageBreak/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554CBA3D" w14:textId="77777777" w:rsidR="00830B4D" w:rsidRDefault="00830B4D" w:rsidP="00E54785"/>
    <w:p w14:paraId="1CC68539" w14:textId="1C1F0F0B" w:rsidR="00830B4D" w:rsidRDefault="00830B4D" w:rsidP="00E54785"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47CA" w14:textId="77777777" w:rsidR="00E318E7" w:rsidRDefault="00E318E7" w:rsidP="00C103F3">
      <w:r>
        <w:separator/>
      </w:r>
    </w:p>
  </w:endnote>
  <w:endnote w:type="continuationSeparator" w:id="0">
    <w:p w14:paraId="169FFDE1" w14:textId="77777777" w:rsidR="00E318E7" w:rsidRDefault="00E318E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07F1" w14:textId="77777777" w:rsidR="00E318E7" w:rsidRDefault="00E318E7" w:rsidP="00C103F3">
      <w:r>
        <w:separator/>
      </w:r>
    </w:p>
  </w:footnote>
  <w:footnote w:type="continuationSeparator" w:id="0">
    <w:p w14:paraId="2A8C656B" w14:textId="77777777" w:rsidR="00E318E7" w:rsidRDefault="00E318E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011E7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E4F64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357F"/>
    <w:rsid w:val="0097534D"/>
    <w:rsid w:val="00982D27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2BC0"/>
    <w:rsid w:val="00AC781D"/>
    <w:rsid w:val="00AD5BD2"/>
    <w:rsid w:val="00AE4BE2"/>
    <w:rsid w:val="00B072D3"/>
    <w:rsid w:val="00B10105"/>
    <w:rsid w:val="00B10439"/>
    <w:rsid w:val="00B11CF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18E7"/>
    <w:rsid w:val="00E34641"/>
    <w:rsid w:val="00E54785"/>
    <w:rsid w:val="00E568AC"/>
    <w:rsid w:val="00E56DB2"/>
    <w:rsid w:val="00E6103C"/>
    <w:rsid w:val="00E6298D"/>
    <w:rsid w:val="00E67FFD"/>
    <w:rsid w:val="00E814C0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603B2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7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308</cp:revision>
  <dcterms:created xsi:type="dcterms:W3CDTF">2023-07-07T00:25:00Z</dcterms:created>
  <dcterms:modified xsi:type="dcterms:W3CDTF">2023-12-05T08:19:00Z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