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  <w:bookmarkStart w:id="0" w:name="_GoBack"/>
      <w:bookmarkEnd w:id="0"/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Pr="00441D81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lastRenderedPageBreak/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Pr="00BE04E3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A0475C">
        <w:rPr>
          <w:rStyle w:val="md-link"/>
          <w:rFonts w:hint="eastAsia"/>
          <w:b/>
        </w:rPr>
        <w:t>，不需管，使用的是</w:t>
      </w:r>
      <w:r w:rsidR="00A0475C">
        <w:rPr>
          <w:rStyle w:val="md-link"/>
          <w:rFonts w:hint="eastAsia"/>
          <w:b/>
        </w:rPr>
        <w:t>Nacos  Config</w:t>
      </w:r>
      <w:r w:rsidR="00A0475C">
        <w:rPr>
          <w:rStyle w:val="md-link"/>
          <w:rFonts w:hint="eastAsia"/>
          <w:b/>
        </w:rPr>
        <w:t>配置中心，正式的配置环境没有变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1F2FCF">
      <w:pPr>
        <w:jc w:val="left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EF7E7F" w:rsidRPr="00EF7E7F" w:rsidRDefault="00EF7E7F" w:rsidP="001F2FCF">
      <w:pPr>
        <w:jc w:val="left"/>
        <w:rPr>
          <w:rStyle w:val="md-link"/>
        </w:rPr>
      </w:pPr>
    </w:p>
    <w:sectPr w:rsidR="00EF7E7F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ED2" w:rsidRDefault="00D82ED2" w:rsidP="00D00573">
      <w:r>
        <w:separator/>
      </w:r>
    </w:p>
  </w:endnote>
  <w:endnote w:type="continuationSeparator" w:id="0">
    <w:p w:rsidR="00D82ED2" w:rsidRDefault="00D82ED2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ED2" w:rsidRDefault="00D82ED2" w:rsidP="00D00573">
      <w:r>
        <w:separator/>
      </w:r>
    </w:p>
  </w:footnote>
  <w:footnote w:type="continuationSeparator" w:id="0">
    <w:p w:rsidR="00D82ED2" w:rsidRDefault="00D82ED2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F5A87"/>
    <w:rsid w:val="000F67C1"/>
    <w:rsid w:val="0010242A"/>
    <w:rsid w:val="0011359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32C62"/>
    <w:rsid w:val="00744A22"/>
    <w:rsid w:val="007462B2"/>
    <w:rsid w:val="00754D98"/>
    <w:rsid w:val="007642A2"/>
    <w:rsid w:val="00777D7B"/>
    <w:rsid w:val="007813E8"/>
    <w:rsid w:val="00787D4D"/>
    <w:rsid w:val="007A19BF"/>
    <w:rsid w:val="007C0246"/>
    <w:rsid w:val="007D3470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78A4"/>
    <w:rsid w:val="00B978A8"/>
    <w:rsid w:val="00BA0747"/>
    <w:rsid w:val="00BD137D"/>
    <w:rsid w:val="00BD28C7"/>
    <w:rsid w:val="00BE04E3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1812"/>
    <w:rsid w:val="00D2274D"/>
    <w:rsid w:val="00D33A7C"/>
    <w:rsid w:val="00D37A21"/>
    <w:rsid w:val="00D66247"/>
    <w:rsid w:val="00D82ED2"/>
    <w:rsid w:val="00D92866"/>
    <w:rsid w:val="00DA02F7"/>
    <w:rsid w:val="00DA53F4"/>
    <w:rsid w:val="00DB4D90"/>
    <w:rsid w:val="00DC183F"/>
    <w:rsid w:val="00DD2C1E"/>
    <w:rsid w:val="00DE274A"/>
    <w:rsid w:val="00DE6090"/>
    <w:rsid w:val="00E27777"/>
    <w:rsid w:val="00E32C72"/>
    <w:rsid w:val="00E70A94"/>
    <w:rsid w:val="00E733E3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EF7E7F"/>
    <w:rsid w:val="00F220F7"/>
    <w:rsid w:val="00F34324"/>
    <w:rsid w:val="00F4345E"/>
    <w:rsid w:val="00F47BB7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520C5-A03A-4F8E-A702-AAA556F0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8</Pages>
  <Words>831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270</cp:revision>
  <dcterms:created xsi:type="dcterms:W3CDTF">2022-06-13T06:30:00Z</dcterms:created>
  <dcterms:modified xsi:type="dcterms:W3CDTF">2022-09-08T05:45:00Z</dcterms:modified>
</cp:coreProperties>
</file>