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F13D85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八，项目部署，清理内存命令，后台无法登录等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4" w:rsidRPr="003C30CF" w:rsidRDefault="003C30CF" w:rsidP="003C30C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配置数据库</w:t>
      </w:r>
    </w:p>
    <w:p w:rsidR="003C30CF" w:rsidRDefault="003C30CF">
      <w:pPr>
        <w:pStyle w:val="a9"/>
        <w:ind w:left="360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根据库自动生成代码时前端页面访问后台有权限？</w:t>
      </w:r>
      <w:r w:rsidR="00056891">
        <w:rPr>
          <w:rFonts w:hint="eastAsia"/>
          <w:noProof/>
        </w:rPr>
        <w:t>个人推测</w:t>
      </w:r>
      <w:bookmarkStart w:id="0" w:name="_GoBack"/>
      <w:bookmarkEnd w:id="0"/>
      <w:r>
        <w:rPr>
          <w:rFonts w:hint="eastAsia"/>
          <w:noProof/>
        </w:rPr>
        <w:t>待验证</w:t>
      </w:r>
    </w:p>
    <w:p w:rsidR="005C31C4" w:rsidRDefault="003C30CF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2EE2B13" wp14:editId="4C1BD6CA">
            <wp:extent cx="5274310" cy="50252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D85" w:rsidRDefault="00F13D85" w:rsidP="005C31C4">
      <w:r>
        <w:separator/>
      </w:r>
    </w:p>
  </w:endnote>
  <w:endnote w:type="continuationSeparator" w:id="0">
    <w:p w:rsidR="00F13D85" w:rsidRDefault="00F13D85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D85" w:rsidRDefault="00F13D85" w:rsidP="005C31C4">
      <w:r>
        <w:separator/>
      </w:r>
    </w:p>
  </w:footnote>
  <w:footnote w:type="continuationSeparator" w:id="0">
    <w:p w:rsidR="00F13D85" w:rsidRDefault="00F13D85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56891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22E3D"/>
    <w:rsid w:val="00262B21"/>
    <w:rsid w:val="00271635"/>
    <w:rsid w:val="00280F36"/>
    <w:rsid w:val="00287AE3"/>
    <w:rsid w:val="002C7BFB"/>
    <w:rsid w:val="00337EC3"/>
    <w:rsid w:val="003524D4"/>
    <w:rsid w:val="003C2281"/>
    <w:rsid w:val="003C30CF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B1569"/>
    <w:rsid w:val="00EC1AF9"/>
    <w:rsid w:val="00ED3D45"/>
    <w:rsid w:val="00ED7953"/>
    <w:rsid w:val="00EE3140"/>
    <w:rsid w:val="00EF502E"/>
    <w:rsid w:val="00F13D85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152</cp:revision>
  <dcterms:created xsi:type="dcterms:W3CDTF">2022-05-14T07:39:00Z</dcterms:created>
  <dcterms:modified xsi:type="dcterms:W3CDTF">2022-07-26T06:12:00Z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