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X</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Fila_15 - Spalla: 4</w:t>
            </w:r>
          </w:p>
          <w:p>
            <w:pPr>
              <w:cnfStyle w:val="000000000000"/>
              <w:rPr/>
            </w:pPr>
            <w:r>
              <w:t>ROTTURA su TRAVERSINO-Orizzontale-Sx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Aggiungere </w:t>
            </w:r>
            <w:r>
              <w:rPr>
                <w:noProof/>
              </w:rPr>
              <w:t>(Profilo: PXYZ - Altezza: 120 - Lunghezza: 1000 - Profondità: 33)</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Fila_2 - Spalla: 2-3</w:t>
            </w:r>
          </w:p>
          <w:p>
            <w:pPr>
              <w:cnfStyle w:val="000000000000"/>
              <w:rPr/>
            </w:pPr>
            <w:r>
              <w:t>URTO su CORRENTE-Back</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Monitorare </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color w:val="auto"/>
                <w:highlight w:val="green"/>
                <w:shd w:val="clear" w:color="auto" w:fill="00B050"/>
              </w:rPr>
              <w:t>VERDE</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Fila_6 - Spalla: 8</w:t>
            </w:r>
          </w:p>
          <w:p>
            <w:pPr>
              <w:cnfStyle w:val="000000000000"/>
              <w:rPr/>
            </w:pPr>
            <w:r>
              <w:t>TORSIONE su MONTANTE-Back-Dx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B18-D - Altezza: 5000 - Lunghezza: 100 - Profondità: 110)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X</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X, prima si chiamava A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Z</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Fila_2 - Spalla: 15-16</w:t>
            </w:r>
          </w:p>
          <w:p>
            <w:pPr>
              <w:cnfStyle w:val="000000000000"/>
              <w:rPr/>
            </w:pPr>
            <w:r>
              <w:t>URTO su CORRENTE-Front</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Raddrizzare </w:t>
            </w:r>
            <w:r>
              <w:rPr>
                <w:noProof/>
              </w:rPr>
              <w:t>(Profilo: C180 - Altezza: 180 - Lunghezza: 2000 - Profondità: 150)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Fila_8 - Spalla: 8</w:t>
            </w:r>
          </w:p>
          <w:p>
            <w:pPr>
              <w:cnfStyle w:val="000000000000"/>
              <w:rPr/>
            </w:pPr>
            <w:r>
              <w:t>SERRAGGIO su TRAVERSINO-Diagonale-Dx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Serrare </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color w:val="auto"/>
                <w:highlight w:val="green"/>
                <w:shd w:val="clear" w:color="auto" w:fill="00B050"/>
              </w:rPr>
              <w:t>VERDE</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Z</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Z, prima era il reparto C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Y</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Fila_7 - Spalla: 3-4</w:t>
            </w:r>
          </w:p>
          <w:p>
            <w:pPr>
              <w:cnfStyle w:val="000000000000"/>
              <w:rPr/>
            </w:pPr>
            <w:r>
              <w:t>ROTTURA su CORRENTE-Back</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Riagganciare </w:t>
            </w:r>
            <w:r>
              <w:rPr>
                <w:noProof/>
              </w:rPr>
              <w:t>(Profilo: G060 - Altezza: 123 - Lunghezza: 2000 - Profondità: 130)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Y</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Y, prima era il reparto B </w:t>
            </w:r>
          </w:p>
        </w:tc>
      </w:tr>
    </w:tbl>
    <w:p>
      <w:pPr>
        <w:rPr/>
      </w:pPr>
    </w:p>
    <w:p>
      <w:pPr>
        <w:rPr/>
      </w:pPr>
    </w:p>
    <w:p>
      <w:pPr>
        <w:rPr/>
      </w:pP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04/05/2021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04/05/2021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characterSpacingControl xmlns:w="http://schemas.openxmlformats.org/wordprocessingml/2006/main" w:val="doNotCompress"/>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