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A5F"/>
          <w:sz w:val="48"/>
          <w:szCs w:val="48"/>
        </w:rPr>
        <w:t xml:space="preserve">Methodology Review</w:t>
      </w:r>
    </w:p>
    <w:p>
      <w:pPr>
        <w:spacing w:after="60"/>
      </w:pPr>
      <w:r>
        <w:rPr>
          <w:rFonts w:ascii="Arial" w:cs="Arial" w:eastAsia="Arial" w:hAnsi="Arial"/>
          <w:color w:val="2E75B6"/>
          <w:sz w:val="26"/>
          <w:szCs w:val="26"/>
        </w:rPr>
        <w:t xml:space="preserve">US Macroeconomic VAR with Exogenous Shocks</w:t>
      </w:r>
    </w:p>
    <w:p>
      <w:pPr>
        <w:pBdr>
          <w:bottom w:val="single" w:color="2E75B6" w:sz="10" w:space="6"/>
        </w:pBdr>
      </w:pPr>
      <w:r>
        <w:rPr>
          <w:rFonts w:ascii="Arial" w:cs="Arial" w:eastAsia="Arial" w:hAnsi="Arial"/>
          <w:i/>
          <w:iCs/>
          <w:color w:val="595959"/>
          <w:sz w:val="20"/>
          <w:szCs w:val="20"/>
        </w:rPr>
        <w:t xml:space="preserve">Horse-race findings · methodology ranking · BVAR fix · recommended shocks</w:t>
      </w:r>
    </w:p>
    <w:p>
      <w:pPr>
        <w:spacing w:after="40" w:before="120"/>
      </w:pPr>
      <w:r>
        <w:rPr>
          <w:rFonts w:ascii="Arial" w:cs="Arial" w:eastAsia="Arial" w:hAnsi="Arial"/>
          <w:b/>
          <w:bCs/>
          <w:sz w:val="20"/>
          <w:szCs w:val="20"/>
        </w:rPr>
        <w:t xml:space="preserve">Scope reviewed: </w:t>
      </w:r>
      <w:r>
        <w:rPr>
          <w:rFonts w:ascii="Arial" w:cs="Arial" w:eastAsia="Arial" w:hAnsi="Arial"/>
          <w:color w:val="595959"/>
          <w:sz w:val="20"/>
          <w:szCs w:val="20"/>
        </w:rPr>
        <w:t xml:space="preserve">ExoVar.ipynb (shock construction) and US_VAR_1__1_.ipynb (71 cells; executed version, no runtime errors). Endogenous: GDP YoY, inflation YoY, REER YoY, 10y T-bill, policy rate (nir). Six exogenous shocks: oil, wealth, consumption, investment, credit, fiscal. Train 2001Q1–2021Q4, test 2022Q1–2025Q1 (13 quarters).</w:t>
      </w:r>
    </w:p>
    <w:p>
      <w:pPr>
        <w:pStyle w:val="Heading1"/>
        <w:pBdr>
          <w:bottom w:val="single" w:color="B7C9DD" w:sz="6" w:space="4"/>
        </w:pBdr>
        <w:spacing w:after="140" w:before="280"/>
      </w:pPr>
      <w:r>
        <w:rPr>
          <w:rFonts w:ascii="Arial" w:cs="Arial" w:eastAsia="Arial" w:hAnsi="Arial"/>
          <w:b/>
          <w:bCs/>
          <w:color w:val="1F3A5F"/>
          <w:sz w:val="30"/>
          <w:szCs w:val="30"/>
        </w:rPr>
        <w:t xml:space="preserve">Overall assessment</w:t>
      </w:r>
    </w:p>
    <w:p>
      <w:pPr>
        <w:spacing w:after="120" w:before="0" w:line="276"/>
      </w:pPr>
      <w:r>
        <w:rPr>
          <w:rFonts w:ascii="Arial" w:cs="Arial" w:eastAsia="Arial" w:hAnsi="Arial"/>
          <w:b/>
          <w:bCs/>
          <w:sz w:val="22"/>
          <w:szCs w:val="22"/>
        </w:rPr>
        <w:t xml:space="preserve">Overall grade: </w:t>
      </w:r>
      <w:r>
        <w:rPr>
          <w:rFonts w:ascii="Arial" w:cs="Arial" w:eastAsia="Arial" w:hAnsi="Arial"/>
          <w:b/>
          <w:bCs/>
          <w:color w:val="2E75B6"/>
          <w:sz w:val="22"/>
          <w:szCs w:val="22"/>
        </w:rPr>
        <w:t xml:space="preserve">B–. </w:t>
      </w:r>
      <w:r>
        <w:rPr>
          <w:rFonts w:ascii="Arial" w:cs="Arial" w:eastAsia="Arial" w:hAnsi="Arial"/>
          <w:sz w:val="22"/>
          <w:szCs w:val="22"/>
        </w:rPr>
        <w:t xml:space="preserve">This is a broad, careful project with a genuinely well-built out-of-sample comparison of exogenous-shock specifications and thorough residual diagnostics. Three things hold it back: the Bayesian VAR is not merely weak but </w:t>
      </w:r>
      <w:r>
        <w:rPr>
          <w:rFonts w:ascii="Arial" w:cs="Arial" w:eastAsia="Arial" w:hAnsi="Arial"/>
          <w:i/>
          <w:iCs/>
          <w:sz w:val="22"/>
          <w:szCs w:val="22"/>
        </w:rPr>
        <w:t xml:space="preserve">broken</w:t>
      </w:r>
      <w:r>
        <w:rPr>
          <w:rFonts w:ascii="Arial" w:cs="Arial" w:eastAsia="Arial" w:hAnsi="Arial"/>
          <w:sz w:val="22"/>
          <w:szCs w:val="22"/>
        </w:rPr>
        <w:t xml:space="preserve"> while being presented as a success (now fixed in the accompanying notebook); the out-of-sample evaluation has </w:t>
      </w:r>
      <w:r>
        <w:rPr>
          <w:rFonts w:ascii="Arial" w:cs="Arial" w:eastAsia="Arial" w:hAnsi="Arial"/>
          <w:i/>
          <w:iCs/>
          <w:sz w:val="22"/>
          <w:szCs w:val="22"/>
        </w:rPr>
        <w:t xml:space="preserve">no naive benchmark</w:t>
      </w:r>
      <w:r>
        <w:rPr>
          <w:rFonts w:ascii="Arial" w:cs="Arial" w:eastAsia="Arial" w:hAnsi="Arial"/>
          <w:sz w:val="22"/>
          <w:szCs w:val="22"/>
        </w:rPr>
        <w:t xml:space="preserve">, so model quality cannot actually be judged (also added); and the core treatment of demand-side aggregates as “exogenous” is conceptually inconsistent with the VAR itself.</w:t>
      </w:r>
    </w:p>
    <w:p>
      <w:pPr>
        <w:spacing w:after="120" w:before="0" w:line="276"/>
      </w:pPr>
      <w:r>
        <w:rPr>
          <w:rFonts w:ascii="Arial" w:cs="Arial" w:eastAsia="Arial" w:hAnsi="Arial"/>
          <w:b/>
          <w:bCs/>
          <w:sz w:val="22"/>
          <w:szCs w:val="22"/>
        </w:rPr>
        <w:t xml:space="preserve">Bottom line: </w:t>
      </w:r>
      <w:r>
        <w:rPr>
          <w:rFonts w:ascii="Arial" w:cs="Arial" w:eastAsia="Arial" w:hAnsi="Arial"/>
          <w:sz w:val="22"/>
          <w:szCs w:val="22"/>
        </w:rPr>
        <w:t xml:space="preserve">the conclusion that the shocks “help” survives only one shock at a time and only marginally; throwing all six in together is far worse than using none. With 13 out-of-sample quarters and no significance testing, the per-equation “winners” are within noise.</w:t>
      </w:r>
    </w:p>
    <w:p>
      <w:pPr>
        <w:spacing w:after="120" w:before="0" w:line="276"/>
      </w:pPr>
      <w:r>
        <w:rPr>
          <w:rFonts w:ascii="Arial" w:cs="Arial" w:eastAsia="Arial" w:hAnsi="Arial"/>
          <w:b/>
          <w:bCs/>
          <w:color w:val="2E75B6"/>
          <w:sz w:val="22"/>
          <w:szCs w:val="22"/>
        </w:rPr>
        <w:t xml:space="preserve">In fairness: </w:t>
      </w:r>
      <w:r>
        <w:rPr>
          <w:rFonts w:ascii="Arial" w:cs="Arial" w:eastAsia="Arial" w:hAnsi="Arial"/>
          <w:sz w:val="22"/>
          <w:szCs w:val="22"/>
        </w:rPr>
        <w:t xml:space="preserve">once a proper benchmark is applied to the actual data (Appendix A), the corrected model beats a random walk on four of five variables — significantly for REER — so the framework has real merit. The issues above are about rigour and validity, not that the model is worthless.</w:t>
      </w:r>
    </w:p>
    <w:p>
      <w:pPr>
        <w:pStyle w:val="Heading1"/>
        <w:pBdr>
          <w:bottom w:val="single" w:color="B7C9DD" w:sz="6" w:space="4"/>
        </w:pBdr>
        <w:spacing w:after="140" w:before="280"/>
      </w:pPr>
      <w:r>
        <w:rPr>
          <w:rFonts w:ascii="Arial" w:cs="Arial" w:eastAsia="Arial" w:hAnsi="Arial"/>
          <w:b/>
          <w:bCs/>
          <w:color w:val="1F3A5F"/>
          <w:sz w:val="30"/>
          <w:szCs w:val="30"/>
        </w:rPr>
        <w:t xml:space="preserve">1. What the project does</w:t>
      </w:r>
    </w:p>
    <w:p>
      <w:pPr>
        <w:spacing w:after="120" w:before="0" w:line="276"/>
      </w:pPr>
      <w:r>
        <w:rPr>
          <w:rFonts w:ascii="Arial" w:cs="Arial" w:eastAsia="Arial" w:hAnsi="Arial"/>
          <w:sz w:val="22"/>
          <w:szCs w:val="22"/>
        </w:rPr>
        <w:t xml:space="preserve">ExoVar.ipynb builds six standardized exogenous shocks from raw series (WTI oil, S&amp;P 100, PCE, private fixed investment, nonfinancial debt, cyclically-adjusted primary balance): the first four as z-scored AR(1) residuals (the “unexpected” component), credit and fiscal as standardized differences. US_VAR_1__1_.ipynb estimates a five-variable VAR with those shocks as exogenous regressors, then runs ADF tests, lag selection, equation-by-equation OLS with significance-based variable selection, out-of-sample evaluation, residual diagnostics, IRF / FEVD / fan-chart scenarios, an ML benchmark, a Bayesian VAR, and a PowerPoint export.</w:t>
      </w:r>
    </w:p>
    <w:p>
      <w:pPr>
        <w:pStyle w:val="Heading1"/>
        <w:pBdr>
          <w:bottom w:val="single" w:color="B7C9DD" w:sz="6" w:space="4"/>
        </w:pBdr>
        <w:spacing w:after="140" w:before="280"/>
      </w:pPr>
      <w:r>
        <w:rPr>
          <w:rFonts w:ascii="Arial" w:cs="Arial" w:eastAsia="Arial" w:hAnsi="Arial"/>
          <w:b/>
          <w:bCs/>
          <w:color w:val="1F3A5F"/>
          <w:sz w:val="30"/>
          <w:szCs w:val="30"/>
        </w:rPr>
        <w:t xml:space="preserve">2. Was there a horse race? Findings</w:t>
      </w:r>
    </w:p>
    <w:p>
      <w:pPr>
        <w:spacing w:after="120" w:before="0" w:line="276"/>
      </w:pPr>
      <w:r>
        <w:rPr>
          <w:rFonts w:ascii="Arial" w:cs="Arial" w:eastAsia="Arial" w:hAnsi="Arial"/>
          <w:b/>
          <w:bCs/>
          <w:sz w:val="22"/>
          <w:szCs w:val="22"/>
        </w:rPr>
        <w:t xml:space="preserve">Yes — three of them, but only one is well-built, and the most important benchmark is absent.</w:t>
      </w:r>
    </w:p>
    <w:p>
      <w:pPr>
        <w:pStyle w:val="Heading2"/>
        <w:spacing w:after="90" w:before="200"/>
      </w:pPr>
      <w:r>
        <w:rPr>
          <w:rFonts w:ascii="Arial" w:cs="Arial" w:eastAsia="Arial" w:hAnsi="Arial"/>
          <w:b/>
          <w:bCs/>
          <w:color w:val="2E75B6"/>
          <w:sz w:val="24"/>
          <w:szCs w:val="24"/>
        </w:rPr>
        <w:t xml:space="preserve">2a. Exogenous-shock specifications (the real one; run three times)</w:t>
      </w:r>
    </w:p>
    <w:p>
      <w:pPr>
        <w:spacing w:after="120" w:before="0" w:line="276"/>
      </w:pPr>
      <w:r>
        <w:rPr>
          <w:rFonts w:ascii="Arial" w:cs="Arial" w:eastAsia="Arial" w:hAnsi="Arial"/>
          <w:sz w:val="22"/>
          <w:szCs w:val="22"/>
        </w:rPr>
        <w:t xml:space="preserve">For each endogenous variable, eight specifications were compared out-of-sample (static one-step, HAC OLS): a no-shock baseline, all six shocks together, and each shock alone. Out-of-sample RMSE (lower is better):</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520"/>
        <w:gridCol w:w="1640"/>
        <w:gridCol w:w="2640"/>
        <w:gridCol w:w="1760"/>
      </w:tblGrid>
      <w:tr>
        <w:trPr>
          <w:tblHeader/>
        </w:trPr>
        <w:tc>
          <w:tcPr>
            <w:tcW w:type="dxa" w:w="252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Variable</w:t>
            </w:r>
          </w:p>
        </w:tc>
        <w:tc>
          <w:tcPr>
            <w:tcW w:type="dxa" w:w="164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Baseline</w:t>
            </w:r>
          </w:p>
        </w:tc>
        <w:tc>
          <w:tcPr>
            <w:tcW w:type="dxa" w:w="264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Best single shock</w:t>
            </w:r>
          </w:p>
        </w:tc>
        <w:tc>
          <w:tcPr>
            <w:tcW w:type="dxa" w:w="17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All shocks</w:t>
            </w:r>
          </w:p>
        </w:tc>
      </w:tr>
      <w:tr>
        <w:trPr>
          <w:tblHeader w:val="false"/>
        </w:trPr>
        <w:tc>
          <w:tcPr>
            <w:tcW w:type="dxa" w:w="25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gdp_yoy</w:t>
            </w:r>
          </w:p>
        </w:tc>
        <w:tc>
          <w:tcPr>
            <w:tcW w:type="dxa" w:w="16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0.604</w:t>
            </w:r>
          </w:p>
        </w:tc>
        <w:tc>
          <w:tcPr>
            <w:tcW w:type="dxa" w:w="26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sz w:val="20"/>
                <w:szCs w:val="20"/>
              </w:rPr>
              <w:t xml:space="preserve">0.561  (credit)</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4.590</w:t>
            </w:r>
          </w:p>
        </w:tc>
      </w:tr>
      <w:tr>
        <w:trPr>
          <w:tblHeader w:val="false"/>
        </w:trPr>
        <w:tc>
          <w:tcPr>
            <w:tcW w:type="dxa" w:w="252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inflation_yoy</w:t>
            </w:r>
          </w:p>
        </w:tc>
        <w:tc>
          <w:tcPr>
            <w:tcW w:type="dxa" w:w="164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0.276</w:t>
            </w:r>
          </w:p>
        </w:tc>
        <w:tc>
          <w:tcPr>
            <w:tcW w:type="dxa" w:w="264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bCs/>
                <w:sz w:val="20"/>
                <w:szCs w:val="20"/>
              </w:rPr>
              <w:t xml:space="preserve">0.261  (oil)</w:t>
            </w:r>
          </w:p>
        </w:tc>
        <w:tc>
          <w:tcPr>
            <w:tcW w:type="dxa" w:w="176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0.691</w:t>
            </w:r>
          </w:p>
        </w:tc>
      </w:tr>
      <w:tr>
        <w:trPr>
          <w:tblHeader w:val="false"/>
        </w:trPr>
        <w:tc>
          <w:tcPr>
            <w:tcW w:type="dxa" w:w="25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reer_yoy</w:t>
            </w:r>
          </w:p>
        </w:tc>
        <w:tc>
          <w:tcPr>
            <w:tcW w:type="dxa" w:w="16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2.821</w:t>
            </w:r>
          </w:p>
        </w:tc>
        <w:tc>
          <w:tcPr>
            <w:tcW w:type="dxa" w:w="26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sz w:val="20"/>
                <w:szCs w:val="20"/>
              </w:rPr>
              <w:t xml:space="preserve">2.526  (oil)</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8.277</w:t>
            </w:r>
          </w:p>
        </w:tc>
      </w:tr>
      <w:tr>
        <w:trPr>
          <w:tblHeader w:val="false"/>
        </w:trPr>
        <w:tc>
          <w:tcPr>
            <w:tcW w:type="dxa" w:w="252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10yTbill</w:t>
            </w:r>
          </w:p>
        </w:tc>
        <w:tc>
          <w:tcPr>
            <w:tcW w:type="dxa" w:w="164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0.534</w:t>
            </w:r>
          </w:p>
        </w:tc>
        <w:tc>
          <w:tcPr>
            <w:tcW w:type="dxa" w:w="264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bCs/>
                <w:sz w:val="20"/>
                <w:szCs w:val="20"/>
              </w:rPr>
              <w:t xml:space="preserve">0.342  (oil)</w:t>
            </w:r>
          </w:p>
        </w:tc>
        <w:tc>
          <w:tcPr>
            <w:tcW w:type="dxa" w:w="176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1.896</w:t>
            </w:r>
          </w:p>
        </w:tc>
      </w:tr>
      <w:tr>
        <w:trPr>
          <w:tblHeader w:val="false"/>
        </w:trPr>
        <w:tc>
          <w:tcPr>
            <w:tcW w:type="dxa" w:w="25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nir (policy)</w:t>
            </w:r>
          </w:p>
        </w:tc>
        <w:tc>
          <w:tcPr>
            <w:tcW w:type="dxa" w:w="16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0.544</w:t>
            </w:r>
          </w:p>
        </w:tc>
        <w:tc>
          <w:tcPr>
            <w:tcW w:type="dxa" w:w="26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sz w:val="20"/>
                <w:szCs w:val="20"/>
              </w:rPr>
              <w:t xml:space="preserve">0.270  (investment)</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0.490</w:t>
            </w:r>
          </w:p>
        </w:tc>
      </w:tr>
    </w:tbl>
    <w:p>
      <w:pPr>
        <w:spacing w:after="80" w:before="100"/>
      </w:pPr>
      <w:r>
        <w:rPr>
          <w:rFonts w:ascii="Arial" w:cs="Arial" w:eastAsia="Arial" w:hAnsi="Arial"/>
          <w:b/>
          <w:bCs/>
          <w:sz w:val="22"/>
          <w:szCs w:val="22"/>
        </w:rPr>
        <w:t xml:space="preserve">Three things the notebook does not state plainly:</w:t>
      </w:r>
    </w:p>
    <w:p>
      <w:pPr>
        <w:pStyle w:val="ListParagraph"/>
        <w:numPr>
          <w:ilvl w:val="0"/>
          <w:numId w:val="2"/>
        </w:numPr>
        <w:spacing w:after="70" w:line="270"/>
      </w:pPr>
      <w:r>
        <w:rPr>
          <w:rFonts w:ascii="Arial" w:cs="Arial" w:eastAsia="Arial" w:hAnsi="Arial"/>
          <w:b/>
          <w:bCs/>
          <w:sz w:val="22"/>
          <w:szCs w:val="22"/>
        </w:rPr>
        <w:t xml:space="preserve">All-shocks is catastrophically worse than no shocks </w:t>
      </w:r>
      <w:r>
        <w:rPr>
          <w:rFonts w:ascii="Arial" w:cs="Arial" w:eastAsia="Arial" w:hAnsi="Arial"/>
          <w:sz w:val="22"/>
          <w:szCs w:val="22"/>
        </w:rPr>
        <w:t xml:space="preserve">(GDP RMSE 4.6 vs 0.6; REER 8.3 vs 2.8) — textbook overfitting on ~83 training quarters.</w:t>
      </w:r>
    </w:p>
    <w:p>
      <w:pPr>
        <w:pStyle w:val="ListParagraph"/>
        <w:numPr>
          <w:ilvl w:val="0"/>
          <w:numId w:val="2"/>
        </w:numPr>
        <w:spacing w:after="70" w:line="270"/>
      </w:pPr>
      <w:r>
        <w:rPr>
          <w:rFonts w:ascii="Arial" w:cs="Arial" w:eastAsia="Arial" w:hAnsi="Arial"/>
          <w:sz w:val="22"/>
          <w:szCs w:val="22"/>
        </w:rPr>
        <w:t xml:space="preserve">The single best shock beats baseline by only 5–10% on GDP, inflation and REER </w:t>
      </w:r>
      <w:r>
        <w:rPr>
          <w:rFonts w:ascii="Arial" w:cs="Arial" w:eastAsia="Arial" w:hAnsi="Arial"/>
          <w:sz w:val="22"/>
          <w:szCs w:val="22"/>
        </w:rPr>
        <w:t xml:space="preserve">— inside the noise for n=13. The real gains are on the rate variables (oil cuts 10y RMSE 36%; investment halves the policy-rate error).</w:t>
      </w:r>
    </w:p>
    <w:p>
      <w:pPr>
        <w:pStyle w:val="ListParagraph"/>
        <w:numPr>
          <w:ilvl w:val="0"/>
          <w:numId w:val="2"/>
        </w:numPr>
        <w:spacing w:after="70" w:line="270"/>
      </w:pPr>
      <w:r>
        <w:rPr>
          <w:rFonts w:ascii="Arial" w:cs="Arial" w:eastAsia="Arial" w:hAnsi="Arial"/>
          <w:b/>
          <w:bCs/>
          <w:sz w:val="22"/>
          <w:szCs w:val="22"/>
        </w:rPr>
        <w:t xml:space="preserve">Oil is the most consistently useful shock </w:t>
      </w:r>
      <w:r>
        <w:rPr>
          <w:rFonts w:ascii="Arial" w:cs="Arial" w:eastAsia="Arial" w:hAnsi="Arial"/>
          <w:sz w:val="22"/>
          <w:szCs w:val="22"/>
        </w:rPr>
        <w:t xml:space="preserve">(wins three of five equations). Wealth actively destroys forecasts (GDP RMSE 6.1, inflation 1.5).</w:t>
      </w:r>
    </w:p>
    <w:p>
      <w:pPr>
        <w:pStyle w:val="Heading2"/>
        <w:spacing w:after="90" w:before="200"/>
      </w:pPr>
      <w:r>
        <w:rPr>
          <w:rFonts w:ascii="Arial" w:cs="Arial" w:eastAsia="Arial" w:hAnsi="Arial"/>
          <w:b/>
          <w:bCs/>
          <w:color w:val="2E75B6"/>
          <w:sz w:val="24"/>
          <w:szCs w:val="24"/>
        </w:rPr>
        <w:t xml:space="preserve">2b. Machine-learning race on GDP</w:t>
      </w:r>
    </w:p>
    <w:p>
      <w:pPr>
        <w:spacing w:after="120" w:before="0" w:line="276"/>
      </w:pPr>
      <w:r>
        <w:rPr>
          <w:rFonts w:ascii="Arial" w:cs="Arial" w:eastAsia="Arial" w:hAnsi="Arial"/>
          <w:sz w:val="22"/>
          <w:szCs w:val="22"/>
        </w:rPr>
        <w:t xml:space="preserve">Ridge 5.68, Random Forest 0.79, Gradient Boosting </w:t>
      </w:r>
      <w:r>
        <w:rPr>
          <w:rFonts w:ascii="Arial" w:cs="Arial" w:eastAsia="Arial" w:hAnsi="Arial"/>
          <w:b/>
          <w:bCs/>
          <w:sz w:val="22"/>
          <w:szCs w:val="22"/>
        </w:rPr>
        <w:t xml:space="preserve">0.52</w:t>
      </w:r>
      <w:r>
        <w:rPr>
          <w:rFonts w:ascii="Arial" w:cs="Arial" w:eastAsia="Arial" w:hAnsi="Arial"/>
          <w:sz w:val="22"/>
          <w:szCs w:val="22"/>
        </w:rPr>
        <w:t xml:space="preserve">. Two problems: Random Forest is then declared the “champion” and used for feature importances even though Gradient Boosting clearly won; and the ML feature set drops </w:t>
      </w:r>
      <w:r>
        <w:rPr>
          <w:rFonts w:ascii="Arial" w:cs="Arial" w:eastAsia="Arial" w:hAnsi="Arial"/>
          <w:i/>
          <w:iCs/>
          <w:sz w:val="22"/>
          <w:szCs w:val="22"/>
        </w:rPr>
        <w:t xml:space="preserve">shock_oil</w:t>
      </w:r>
      <w:r>
        <w:rPr>
          <w:rFonts w:ascii="Arial" w:cs="Arial" w:eastAsia="Arial" w:hAnsi="Arial"/>
          <w:sz w:val="22"/>
          <w:szCs w:val="22"/>
        </w:rPr>
        <w:t xml:space="preserve"> — the one shock that dominated the VAR race. Gradient Boosting’s 0.52 is essentially tied with the VAR (0.56–0.60), so ML wins nothing once accounted for. Tree models also cannot extrapolate beyond their training range, a real liability for the post-COVID window.</w:t>
      </w:r>
    </w:p>
    <w:p>
      <w:pPr>
        <w:pStyle w:val="Heading2"/>
        <w:spacing w:after="90" w:before="200"/>
      </w:pPr>
      <w:r>
        <w:rPr>
          <w:rFonts w:ascii="Arial" w:cs="Arial" w:eastAsia="Arial" w:hAnsi="Arial"/>
          <w:b/>
          <w:bCs/>
          <w:color w:val="2E75B6"/>
          <w:sz w:val="24"/>
          <w:szCs w:val="24"/>
        </w:rPr>
        <w:t xml:space="preserve">2c. Bayesian vs classical VAR</w:t>
      </w:r>
    </w:p>
    <w:p>
      <w:pPr>
        <w:spacing w:after="120" w:before="0" w:line="276"/>
      </w:pPr>
      <w:r>
        <w:rPr>
          <w:rFonts w:ascii="Arial" w:cs="Arial" w:eastAsia="Arial" w:hAnsi="Arial"/>
          <w:sz w:val="22"/>
          <w:szCs w:val="22"/>
        </w:rPr>
        <w:t xml:space="preserve">This one blew up: classical VAR RMSE 2.49 vs Bayesian VAR RMSE </w:t>
      </w:r>
      <w:r>
        <w:rPr>
          <w:rFonts w:ascii="Arial" w:cs="Arial" w:eastAsia="Arial" w:hAnsi="Arial"/>
          <w:b/>
          <w:bCs/>
          <w:color w:val="B00000"/>
          <w:sz w:val="22"/>
          <w:szCs w:val="22"/>
        </w:rPr>
        <w:t xml:space="preserve">57,380,007</w:t>
      </w:r>
      <w:r>
        <w:rPr>
          <w:rFonts w:ascii="Arial" w:cs="Arial" w:eastAsia="Arial" w:hAnsi="Arial"/>
          <w:sz w:val="22"/>
          <w:szCs w:val="22"/>
        </w:rPr>
        <w:t xml:space="preserve">. Only 24% of posterior draws are stable, and the “shrinkage ratio” is 315% — the prior is </w:t>
      </w:r>
      <w:r>
        <w:rPr>
          <w:rFonts w:ascii="Arial" w:cs="Arial" w:eastAsia="Arial" w:hAnsi="Arial"/>
          <w:i/>
          <w:iCs/>
          <w:sz w:val="22"/>
          <w:szCs w:val="22"/>
        </w:rPr>
        <w:t xml:space="preserve">amplifying</w:t>
      </w:r>
      <w:r>
        <w:rPr>
          <w:rFonts w:ascii="Arial" w:cs="Arial" w:eastAsia="Arial" w:hAnsi="Arial"/>
          <w:sz w:val="22"/>
          <w:szCs w:val="22"/>
        </w:rPr>
        <w:t xml:space="preserve"> coefficients, not shrinking them. Diagnosed and corrected in Section 4.</w:t>
      </w:r>
    </w:p>
    <w:p>
      <w:pPr>
        <w:pStyle w:val="Heading2"/>
        <w:spacing w:after="90" w:before="200"/>
      </w:pPr>
      <w:r>
        <w:rPr>
          <w:rFonts w:ascii="Arial" w:cs="Arial" w:eastAsia="Arial" w:hAnsi="Arial"/>
          <w:b/>
          <w:bCs/>
          <w:color w:val="2E75B6"/>
          <w:sz w:val="24"/>
          <w:szCs w:val="24"/>
        </w:rPr>
        <w:t xml:space="preserve">2d. What is missing from all three</w:t>
      </w:r>
    </w:p>
    <w:p>
      <w:pPr>
        <w:spacing w:after="120" w:before="0" w:line="276"/>
      </w:pPr>
      <w:r>
        <w:rPr>
          <w:rFonts w:ascii="Arial" w:cs="Arial" w:eastAsia="Arial" w:hAnsi="Arial"/>
          <w:b/>
          <w:bCs/>
          <w:sz w:val="22"/>
          <w:szCs w:val="22"/>
        </w:rPr>
        <w:t xml:space="preserve">There is no naive benchmark. </w:t>
      </w:r>
      <w:r>
        <w:rPr>
          <w:rFonts w:ascii="Arial" w:cs="Arial" w:eastAsia="Arial" w:hAnsi="Arial"/>
          <w:sz w:val="22"/>
          <w:szCs w:val="22"/>
        </w:rPr>
        <w:t xml:space="preserve">“Baseline” here is still a full VAR — there is no random walk, no AR(1), no no-change forecast. In forecasting, beating a naive benchmark </w:t>
      </w:r>
      <w:r>
        <w:rPr>
          <w:rFonts w:ascii="Arial" w:cs="Arial" w:eastAsia="Arial" w:hAnsi="Arial"/>
          <w:i/>
          <w:iCs/>
          <w:sz w:val="22"/>
          <w:szCs w:val="22"/>
        </w:rPr>
        <w:t xml:space="preserve">is</w:t>
      </w:r>
      <w:r>
        <w:rPr>
          <w:rFonts w:ascii="Arial" w:cs="Arial" w:eastAsia="Arial" w:hAnsi="Arial"/>
          <w:sz w:val="22"/>
          <w:szCs w:val="22"/>
        </w:rPr>
        <w:t xml:space="preserve"> the horse race; without it, “GDP RMSE 0.60” is uninterpretable. There is also no Diebold–Mariano test, so no “winner” is shown to be statistically distinguishable (with n=13 they almost certainly are not). Both are added in Section 5. Note also that the static one-step “OOS” feeds </w:t>
      </w:r>
      <w:r>
        <w:rPr>
          <w:rFonts w:ascii="Arial" w:cs="Arial" w:eastAsia="Arial" w:hAnsi="Arial"/>
          <w:i/>
          <w:iCs/>
          <w:sz w:val="22"/>
          <w:szCs w:val="22"/>
        </w:rPr>
        <w:t xml:space="preserve">actual</w:t>
      </w:r>
      <w:r>
        <w:rPr>
          <w:rFonts w:ascii="Arial" w:cs="Arial" w:eastAsia="Arial" w:hAnsi="Arial"/>
          <w:sz w:val="22"/>
          <w:szCs w:val="22"/>
        </w:rPr>
        <w:t xml:space="preserve"> lagged values, so it is an easy conditional forecast — not the same task as the 8-step dynamic scenarios where the model becomes unstable.</w:t>
      </w:r>
    </w:p>
    <w:p>
      <w:pPr>
        <w:pStyle w:val="Heading1"/>
        <w:pBdr>
          <w:bottom w:val="single" w:color="B7C9DD" w:sz="6" w:space="4"/>
        </w:pBdr>
        <w:spacing w:after="140" w:before="280"/>
      </w:pPr>
      <w:r>
        <w:rPr>
          <w:rFonts w:ascii="Arial" w:cs="Arial" w:eastAsia="Arial" w:hAnsi="Arial"/>
          <w:b/>
          <w:bCs/>
          <w:color w:val="1F3A5F"/>
          <w:sz w:val="30"/>
          <w:szCs w:val="30"/>
        </w:rPr>
        <w:t xml:space="preserve">3. Methodology ranking</w:t>
      </w:r>
    </w:p>
    <w:p>
      <w:pPr>
        <w:spacing w:after="120" w:before="0" w:line="276"/>
      </w:pPr>
      <w:r>
        <w:rPr>
          <w:rFonts w:ascii="Arial" w:cs="Arial" w:eastAsia="Arial" w:hAnsi="Arial"/>
          <w:sz w:val="22"/>
          <w:szCs w:val="22"/>
        </w:rPr>
        <w:t xml:space="preserve">Components, graded and ordered strongest to weakest:</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3360"/>
        <w:gridCol w:w="1100"/>
        <w:gridCol w:w="4100"/>
      </w:tblGrid>
      <w:tr>
        <w:trPr>
          <w:tblHeader/>
        </w:trPr>
        <w:tc>
          <w:tcPr>
            <w:tcW w:type="dxa" w:w="33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Component</w:t>
            </w:r>
          </w:p>
        </w:tc>
        <w:tc>
          <w:tcPr>
            <w:tcW w:type="dxa" w:w="11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Grade</w:t>
            </w:r>
          </w:p>
        </w:tc>
        <w:tc>
          <w:tcPr>
            <w:tcW w:type="dxa" w:w="41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Note</w:t>
            </w:r>
          </w:p>
        </w:tc>
      </w:tr>
      <w:tr>
        <w:trPr>
          <w:tblHeader w:val="false"/>
        </w:trPr>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Shock-spec OOS testing</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sz w:val="20"/>
                <w:szCs w:val="20"/>
              </w:rPr>
              <w:t xml:space="preserve">A–</w:t>
            </w:r>
          </w:p>
        </w:tc>
        <w:tc>
          <w:tcPr>
            <w:tcW w:type="dxa" w:w="4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Multiple metrics (RMSE/MAE/sMAPE/Theil), replicated, honest per-equation winners.</w:t>
            </w:r>
          </w:p>
        </w:tc>
      </w:tr>
      <w:tr>
        <w:trPr>
          <w:tblHeader w:val="false"/>
        </w:trPr>
        <w:tc>
          <w:tcPr>
            <w:tcW w:type="dxa" w:w="336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Residual diagnostics</w:t>
            </w:r>
          </w:p>
        </w:tc>
        <w:tc>
          <w:tcPr>
            <w:tcW w:type="dxa" w:w="11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bCs/>
                <w:sz w:val="20"/>
                <w:szCs w:val="20"/>
              </w:rPr>
              <w:t xml:space="preserve">A–</w:t>
            </w:r>
          </w:p>
        </w:tc>
        <w:tc>
          <w:tcPr>
            <w:tcW w:type="dxa" w:w="41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Durbin–Watson, Ljung–Box, Breusch–Godfrey + HAC (Newey–West) SEs. Thorough.</w:t>
            </w:r>
          </w:p>
        </w:tc>
      </w:tr>
      <w:tr>
        <w:trPr>
          <w:tblHeader w:val="false"/>
        </w:trPr>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Breadth (IRF/FEVD/scenarios)</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sz w:val="20"/>
                <w:szCs w:val="20"/>
              </w:rPr>
              <w:t xml:space="preserve">B+</w:t>
            </w:r>
          </w:p>
        </w:tc>
        <w:tc>
          <w:tcPr>
            <w:tcW w:type="dxa" w:w="4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Good coverage for a management deliverable.</w:t>
            </w:r>
          </w:p>
        </w:tc>
      </w:tr>
      <w:tr>
        <w:trPr>
          <w:tblHeader w:val="false"/>
        </w:trPr>
        <w:tc>
          <w:tcPr>
            <w:tcW w:type="dxa" w:w="336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Stationarity testing</w:t>
            </w:r>
          </w:p>
        </w:tc>
        <w:tc>
          <w:tcPr>
            <w:tcW w:type="dxa" w:w="11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bCs/>
                <w:sz w:val="20"/>
                <w:szCs w:val="20"/>
              </w:rPr>
              <w:t xml:space="preserve">B</w:t>
            </w:r>
          </w:p>
        </w:tc>
        <w:tc>
          <w:tcPr>
            <w:tcW w:type="dxa" w:w="41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ADF run correctly — but its verdict is then ignored (see weakness 2).</w:t>
            </w:r>
          </w:p>
        </w:tc>
      </w:tr>
      <w:tr>
        <w:trPr>
          <w:tblHeader w:val="false"/>
        </w:trPr>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Variable selection</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sz w:val="20"/>
                <w:szCs w:val="20"/>
              </w:rPr>
              <w:t xml:space="preserve">B</w:t>
            </w:r>
          </w:p>
        </w:tc>
        <w:tc>
          <w:tcPr>
            <w:tcW w:type="dxa" w:w="4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Significance pruning is reasonable given the parameter count.</w:t>
            </w:r>
          </w:p>
        </w:tc>
      </w:tr>
      <w:tr>
        <w:trPr>
          <w:tblHeader w:val="false"/>
        </w:trPr>
        <w:tc>
          <w:tcPr>
            <w:tcW w:type="dxa" w:w="336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Lag choice</w:t>
            </w:r>
          </w:p>
        </w:tc>
        <w:tc>
          <w:tcPr>
            <w:tcW w:type="dxa" w:w="11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bCs/>
                <w:sz w:val="20"/>
                <w:szCs w:val="20"/>
              </w:rPr>
              <w:t xml:space="preserve">C+</w:t>
            </w:r>
          </w:p>
        </w:tc>
        <w:tc>
          <w:tcPr>
            <w:tcW w:type="dxa" w:w="41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Hardcoded p=5; ~27–32 params/equation on ~83 obs is heavy.</w:t>
            </w:r>
          </w:p>
        </w:tc>
      </w:tr>
      <w:tr>
        <w:trPr>
          <w:tblHeader w:val="false"/>
        </w:trPr>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ML benchmark</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sz w:val="20"/>
                <w:szCs w:val="20"/>
              </w:rPr>
              <w:t xml:space="preserve">C</w:t>
            </w:r>
          </w:p>
        </w:tc>
        <w:tc>
          <w:tcPr>
            <w:tcW w:type="dxa" w:w="4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Champion mislabeled; oil dropped; trees cannot extrapolate.</w:t>
            </w:r>
          </w:p>
        </w:tc>
      </w:tr>
      <w:tr>
        <w:trPr>
          <w:tblHeader w:val="false"/>
        </w:trPr>
        <w:tc>
          <w:tcPr>
            <w:tcW w:type="dxa" w:w="336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Exogeneity of shocks</w:t>
            </w:r>
          </w:p>
        </w:tc>
        <w:tc>
          <w:tcPr>
            <w:tcW w:type="dxa" w:w="11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bCs/>
                <w:sz w:val="20"/>
                <w:szCs w:val="20"/>
              </w:rPr>
              <w:t xml:space="preserve">C–</w:t>
            </w:r>
          </w:p>
        </w:tc>
        <w:tc>
          <w:tcPr>
            <w:tcW w:type="dxa" w:w="41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Consumption/investment/wealth are not exogenous to US GDP.</w:t>
            </w:r>
          </w:p>
        </w:tc>
      </w:tr>
      <w:tr>
        <w:trPr>
          <w:tblHeader w:val="false"/>
        </w:trPr>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Bayesian VAR</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sz w:val="20"/>
                <w:szCs w:val="20"/>
              </w:rPr>
              <w:t xml:space="preserve">F → fixed</w:t>
            </w:r>
          </w:p>
        </w:tc>
        <w:tc>
          <w:tcPr>
            <w:tcW w:type="dxa" w:w="4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Exploding forecasts; corrected in the accompanying notebook.</w:t>
            </w:r>
          </w:p>
        </w:tc>
      </w:tr>
    </w:tbl>
    <w:p>
      <w:pPr>
        <w:pStyle w:val="Heading2"/>
        <w:spacing w:after="90" w:before="200"/>
      </w:pPr>
      <w:r>
        <w:rPr>
          <w:rFonts w:ascii="Arial" w:cs="Arial" w:eastAsia="Arial" w:hAnsi="Arial"/>
          <w:b/>
          <w:bCs/>
          <w:color w:val="2E75B6"/>
          <w:sz w:val="24"/>
          <w:szCs w:val="24"/>
        </w:rPr>
        <w:t xml:space="preserve">Strengths</w:t>
      </w:r>
    </w:p>
    <w:p>
      <w:pPr>
        <w:pStyle w:val="ListParagraph"/>
        <w:numPr>
          <w:ilvl w:val="0"/>
          <w:numId w:val="2"/>
        </w:numPr>
        <w:spacing w:after="70" w:line="270"/>
      </w:pPr>
      <w:r>
        <w:rPr>
          <w:rFonts w:ascii="Arial" w:cs="Arial" w:eastAsia="Arial" w:hAnsi="Arial"/>
          <w:sz w:val="22"/>
          <w:szCs w:val="22"/>
        </w:rPr>
        <w:t xml:space="preserve">Genuine out-of-sample evaluation with a real train/test split, not just in-sample fit.</w:t>
      </w:r>
    </w:p>
    <w:p>
      <w:pPr>
        <w:pStyle w:val="ListParagraph"/>
        <w:numPr>
          <w:ilvl w:val="0"/>
          <w:numId w:val="2"/>
        </w:numPr>
        <w:spacing w:after="70" w:line="270"/>
      </w:pPr>
      <w:r>
        <w:rPr>
          <w:rFonts w:ascii="Arial" w:cs="Arial" w:eastAsia="Arial" w:hAnsi="Arial"/>
          <w:sz w:val="22"/>
          <w:szCs w:val="22"/>
        </w:rPr>
        <w:t xml:space="preserve">The shock-specification comparison is well-designed and independently replicated.</w:t>
      </w:r>
    </w:p>
    <w:p>
      <w:pPr>
        <w:pStyle w:val="ListParagraph"/>
        <w:numPr>
          <w:ilvl w:val="0"/>
          <w:numId w:val="2"/>
        </w:numPr>
        <w:spacing w:after="70" w:line="270"/>
      </w:pPr>
      <w:r>
        <w:rPr>
          <w:rFonts w:ascii="Arial" w:cs="Arial" w:eastAsia="Arial" w:hAnsi="Arial"/>
          <w:sz w:val="22"/>
          <w:szCs w:val="22"/>
        </w:rPr>
        <w:t xml:space="preserve">Diagnostics and robust standard errors are appropriate for autocorrelated macro data.</w:t>
      </w:r>
    </w:p>
    <w:p>
      <w:pPr>
        <w:pStyle w:val="Heading2"/>
        <w:spacing w:after="90" w:before="200"/>
      </w:pPr>
      <w:r>
        <w:rPr>
          <w:rFonts w:ascii="Arial" w:cs="Arial" w:eastAsia="Arial" w:hAnsi="Arial"/>
          <w:b/>
          <w:bCs/>
          <w:color w:val="2E75B6"/>
          <w:sz w:val="24"/>
          <w:szCs w:val="24"/>
        </w:rPr>
        <w:t xml:space="preserve">Weaknesses, ranked by severity</w:t>
      </w:r>
    </w:p>
    <w:p>
      <w:pPr>
        <w:pStyle w:val="ListParagraph"/>
        <w:numPr>
          <w:ilvl w:val="0"/>
          <w:numId w:val="3"/>
        </w:numPr>
        <w:spacing w:after="70" w:line="270"/>
      </w:pPr>
      <w:r>
        <w:rPr>
          <w:rFonts w:ascii="Arial" w:cs="Arial" w:eastAsia="Arial" w:hAnsi="Arial"/>
          <w:b/>
          <w:bCs/>
          <w:sz w:val="22"/>
          <w:szCs w:val="22"/>
        </w:rPr>
        <w:t xml:space="preserve">The BVAR is broken but framed as working. </w:t>
      </w:r>
      <w:r>
        <w:rPr>
          <w:rFonts w:ascii="Arial" w:cs="Arial" w:eastAsia="Arial" w:hAnsi="Arial"/>
          <w:sz w:val="22"/>
          <w:szCs w:val="22"/>
        </w:rPr>
        <w:t xml:space="preserve">Forecasts diverge to 10⁷, 24% of draws stable, prior amplifies. Most serious; fixed here.</w:t>
      </w:r>
    </w:p>
    <w:p>
      <w:pPr>
        <w:pStyle w:val="ListParagraph"/>
        <w:numPr>
          <w:ilvl w:val="0"/>
          <w:numId w:val="3"/>
        </w:numPr>
        <w:spacing w:after="70" w:line="270"/>
      </w:pPr>
      <w:r>
        <w:rPr>
          <w:rFonts w:ascii="Arial" w:cs="Arial" w:eastAsia="Arial" w:hAnsi="Arial"/>
          <w:b/>
          <w:bCs/>
          <w:sz w:val="22"/>
          <w:szCs w:val="22"/>
        </w:rPr>
        <w:t xml:space="preserve">Stationarity is tested then ignored. </w:t>
      </w:r>
      <w:r>
        <w:rPr>
          <w:rFonts w:ascii="Arial" w:cs="Arial" w:eastAsia="Arial" w:hAnsi="Arial"/>
          <w:sz w:val="22"/>
          <w:szCs w:val="22"/>
        </w:rPr>
        <w:t xml:space="preserve">ADF flags inflation (p≈0.97) and the 10y (p≈0.64 with trend) as non-stationary in levels — the code even differences them to prove it — yet the VAR is estimated on all five in levels with no cointegration (Johansen) test or VECM. This is also why the companion matrix has eigenvalues ≥ 1.</w:t>
      </w:r>
    </w:p>
    <w:p>
      <w:pPr>
        <w:pStyle w:val="ListParagraph"/>
        <w:numPr>
          <w:ilvl w:val="0"/>
          <w:numId w:val="3"/>
        </w:numPr>
        <w:spacing w:after="70" w:line="270"/>
      </w:pPr>
      <w:r>
        <w:rPr>
          <w:rFonts w:ascii="Arial" w:cs="Arial" w:eastAsia="Arial" w:hAnsi="Arial"/>
          <w:b/>
          <w:bCs/>
          <w:sz w:val="22"/>
          <w:szCs w:val="22"/>
        </w:rPr>
        <w:t xml:space="preserve">Treating consumption/investment/wealth as “exogenous” is conceptually shaky. </w:t>
      </w:r>
      <w:r>
        <w:rPr>
          <w:rFonts w:ascii="Arial" w:cs="Arial" w:eastAsia="Arial" w:hAnsi="Arial"/>
          <w:sz w:val="22"/>
          <w:szCs w:val="22"/>
        </w:rPr>
        <w:t xml:space="preserve">These are jointly determined with GDP — the premise of a VAR. Oil is defensibly external; the demand aggregates are not.</w:t>
      </w:r>
    </w:p>
    <w:p>
      <w:pPr>
        <w:pStyle w:val="ListParagraph"/>
        <w:numPr>
          <w:ilvl w:val="0"/>
          <w:numId w:val="3"/>
        </w:numPr>
        <w:spacing w:after="70" w:line="270"/>
      </w:pPr>
      <w:r>
        <w:rPr>
          <w:rFonts w:ascii="Arial" w:cs="Arial" w:eastAsia="Arial" w:hAnsi="Arial"/>
          <w:b/>
          <w:bCs/>
          <w:sz w:val="22"/>
          <w:szCs w:val="22"/>
        </w:rPr>
        <w:t xml:space="preserve">No naive benchmark and no significance testing. </w:t>
      </w:r>
      <w:r>
        <w:rPr>
          <w:rFonts w:ascii="Arial" w:cs="Arial" w:eastAsia="Arial" w:hAnsi="Arial"/>
          <w:sz w:val="22"/>
          <w:szCs w:val="22"/>
        </w:rPr>
        <w:t xml:space="preserve">Cannot tell whether the model is actually good; added in Section 5.</w:t>
      </w:r>
    </w:p>
    <w:p>
      <w:pPr>
        <w:pStyle w:val="ListParagraph"/>
        <w:numPr>
          <w:ilvl w:val="0"/>
          <w:numId w:val="3"/>
        </w:numPr>
        <w:spacing w:after="70" w:line="270"/>
      </w:pPr>
      <w:r>
        <w:rPr>
          <w:rFonts w:ascii="Arial" w:cs="Arial" w:eastAsia="Arial" w:hAnsi="Arial"/>
          <w:b/>
          <w:bCs/>
          <w:sz w:val="22"/>
          <w:szCs w:val="22"/>
        </w:rPr>
        <w:t xml:space="preserve">Look-ahead leakage in the shocks. </w:t>
      </w:r>
      <w:r>
        <w:rPr>
          <w:rFonts w:ascii="Arial" w:cs="Arial" w:eastAsia="Arial" w:hAnsi="Arial"/>
          <w:sz w:val="22"/>
          <w:szCs w:val="22"/>
        </w:rPr>
        <w:t xml:space="preserve">Z-scores and AR(1) residuals in ExoVar.ipynb are fit on the full sample including 2022–2025, leaking test-period information into the standardization. The fiscal shock also repeats one annual CAPB value across four quarters (artificial step-function persistence) and is built differently from the AR-residual shocks.</w:t>
      </w:r>
    </w:p>
    <w:p>
      <w:pPr>
        <w:pStyle w:val="ListParagraph"/>
        <w:numPr>
          <w:ilvl w:val="0"/>
          <w:numId w:val="3"/>
        </w:numPr>
        <w:spacing w:after="70" w:line="270"/>
      </w:pPr>
      <w:r>
        <w:rPr>
          <w:rFonts w:ascii="Arial" w:cs="Arial" w:eastAsia="Arial" w:hAnsi="Arial"/>
          <w:b/>
          <w:bCs/>
          <w:sz w:val="22"/>
          <w:szCs w:val="22"/>
        </w:rPr>
        <w:t xml:space="preserve">ML caveats. </w:t>
      </w:r>
      <w:r>
        <w:rPr>
          <w:rFonts w:ascii="Arial" w:cs="Arial" w:eastAsia="Arial" w:hAnsi="Arial"/>
          <w:sz w:val="22"/>
          <w:szCs w:val="22"/>
        </w:rPr>
        <w:t xml:space="preserve">Champion mislabeled (RF vs GBM), oil excluded, no extrapolation.</w:t>
      </w:r>
    </w:p>
    <w:p>
      <w:pPr>
        <w:pStyle w:val="Heading1"/>
        <w:pBdr>
          <w:bottom w:val="single" w:color="B7C9DD" w:sz="6" w:space="4"/>
        </w:pBdr>
        <w:spacing w:after="140" w:before="280"/>
      </w:pPr>
      <w:r>
        <w:rPr>
          <w:rFonts w:ascii="Arial" w:cs="Arial" w:eastAsia="Arial" w:hAnsi="Arial"/>
          <w:b/>
          <w:bCs/>
          <w:color w:val="1F3A5F"/>
          <w:sz w:val="30"/>
          <w:szCs w:val="30"/>
        </w:rPr>
        <w:t xml:space="preserve">4. The Bayesian VAR: diagnosis and fix</w:t>
      </w:r>
    </w:p>
    <w:p>
      <w:pPr>
        <w:pStyle w:val="Heading2"/>
        <w:spacing w:after="90" w:before="200"/>
      </w:pPr>
      <w:r>
        <w:rPr>
          <w:rFonts w:ascii="Arial" w:cs="Arial" w:eastAsia="Arial" w:hAnsi="Arial"/>
          <w:b/>
          <w:bCs/>
          <w:color w:val="2E75B6"/>
          <w:sz w:val="24"/>
          <w:szCs w:val="24"/>
        </w:rPr>
        <w:t xml:space="preserve">What was wrong</w:t>
      </w:r>
    </w:p>
    <w:p>
      <w:pPr>
        <w:pStyle w:val="ListParagraph"/>
        <w:numPr>
          <w:ilvl w:val="0"/>
          <w:numId w:val="2"/>
        </w:numPr>
        <w:spacing w:after="70" w:line="270"/>
      </w:pPr>
      <w:r>
        <w:rPr>
          <w:rFonts w:ascii="Arial" w:cs="Arial" w:eastAsia="Arial" w:hAnsi="Arial"/>
          <w:b/>
          <w:bCs/>
          <w:sz w:val="22"/>
          <w:szCs w:val="22"/>
        </w:rPr>
        <w:t xml:space="preserve">Precision/variance confusion. </w:t>
      </w:r>
      <w:r>
        <w:rPr>
          <w:rFonts w:ascii="Arial" w:cs="Arial" w:eastAsia="Arial" w:hAnsi="Arial"/>
          <w:sz w:val="22"/>
          <w:szCs w:val="22"/>
        </w:rPr>
        <w:t xml:space="preserve">The Minnesota prior was built as a precision matrix with entries ≈ λ₁/σ² ≈ 0.1, which encodes a prior variance of ~10 — effectively a flat prior that does no shrinking.</w:t>
      </w:r>
    </w:p>
    <w:p>
      <w:pPr>
        <w:pStyle w:val="ListParagraph"/>
        <w:numPr>
          <w:ilvl w:val="0"/>
          <w:numId w:val="2"/>
        </w:numPr>
        <w:spacing w:after="70" w:line="270"/>
      </w:pPr>
      <w:r>
        <w:rPr>
          <w:rFonts w:ascii="Arial" w:cs="Arial" w:eastAsia="Arial" w:hAnsi="Arial"/>
          <w:b/>
          <w:bCs/>
          <w:sz w:val="22"/>
          <w:szCs w:val="22"/>
        </w:rPr>
        <w:t xml:space="preserve">Wrong prior mean. </w:t>
      </w:r>
      <w:r>
        <w:rPr>
          <w:rFonts w:ascii="Arial" w:cs="Arial" w:eastAsia="Arial" w:hAnsi="Arial"/>
          <w:sz w:val="22"/>
          <w:szCs w:val="22"/>
        </w:rPr>
        <w:t xml:space="preserve">Every coefficient had prior mean 0; the own first lag of a persistent level series (the 10y, inflation) should be ≈ 1 (random-walk belief).</w:t>
      </w:r>
    </w:p>
    <w:p>
      <w:pPr>
        <w:pStyle w:val="ListParagraph"/>
        <w:numPr>
          <w:ilvl w:val="0"/>
          <w:numId w:val="2"/>
        </w:numPr>
        <w:spacing w:after="70" w:line="270"/>
      </w:pPr>
      <w:r>
        <w:rPr>
          <w:rFonts w:ascii="Arial" w:cs="Arial" w:eastAsia="Arial" w:hAnsi="Arial"/>
          <w:b/>
          <w:bCs/>
          <w:sz w:val="22"/>
          <w:szCs w:val="22"/>
        </w:rPr>
        <w:t xml:space="preserve">No sum-of-coefficients prior. </w:t>
      </w:r>
      <w:r>
        <w:rPr>
          <w:rFonts w:ascii="Arial" w:cs="Arial" w:eastAsia="Arial" w:hAnsi="Arial"/>
          <w:sz w:val="22"/>
          <w:szCs w:val="22"/>
        </w:rPr>
        <w:t xml:space="preserve">Nothing curbed the near-unit-roots, so the posterior inherited explosive OLS dynamics (max eigenvalue up to 1.75) and 8-step forecasts compounded to ~10⁷.</w:t>
      </w:r>
    </w:p>
    <w:p>
      <w:pPr>
        <w:pStyle w:val="Heading2"/>
        <w:spacing w:after="90" w:before="200"/>
      </w:pPr>
      <w:r>
        <w:rPr>
          <w:rFonts w:ascii="Arial" w:cs="Arial" w:eastAsia="Arial" w:hAnsi="Arial"/>
          <w:b/>
          <w:bCs/>
          <w:color w:val="2E75B6"/>
          <w:sz w:val="24"/>
          <w:szCs w:val="24"/>
        </w:rPr>
        <w:t xml:space="preserve">The fix (in US_VAR_addons.ipynb)</w:t>
      </w:r>
    </w:p>
    <w:p>
      <w:pPr>
        <w:spacing w:after="120" w:before="0" w:line="276"/>
      </w:pPr>
      <w:r>
        <w:rPr>
          <w:rFonts w:ascii="Arial" w:cs="Arial" w:eastAsia="Arial" w:hAnsi="Arial"/>
          <w:sz w:val="22"/>
          <w:szCs w:val="22"/>
        </w:rPr>
        <w:t xml:space="preserve">Replaced the hand-built precision matrix with the standard natural-conjugate Minnesota prior implemented via dummy observations (Bańbura, Giannone &amp; Reichlin 2010): correct variance scaling, own-first-lag prior mean δ (≈ 1 for levels, &lt; 1 for growth rates), and a sum-of-coefficients prior. Verified on synthetic data with this notebook’s exact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60"/>
        <w:gridCol w:w="308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Diagnostic</w:t>
            </w:r>
          </w:p>
        </w:tc>
        <w:tc>
          <w:tcPr>
            <w:tcW w:type="dxa" w:w="31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Original BVAR</w:t>
            </w:r>
          </w:p>
        </w:tc>
        <w:tc>
          <w:tcPr>
            <w:tcW w:type="dxa" w:w="308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Corrected BVAR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Max companion eigenvalue</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up to 1.75 (unstable)</w:t>
            </w:r>
          </w:p>
        </w:tc>
        <w:tc>
          <w:tcPr>
            <w:tcW w:type="dxa" w:w="30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sz w:val="20"/>
                <w:szCs w:val="20"/>
              </w:rPr>
              <w:t xml:space="preserve">≈ 0.95 (stable)</w:t>
            </w:r>
          </w:p>
        </w:tc>
      </w:tr>
      <w:tr>
        <w:trPr>
          <w:tblHeader w:val="false"/>
        </w:trPr>
        <w:tc>
          <w:tcPr>
            <w:tcW w:type="dxa" w:w="312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Stable posterior draws</w:t>
            </w:r>
          </w:p>
        </w:tc>
        <w:tc>
          <w:tcPr>
            <w:tcW w:type="dxa" w:w="316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24%</w:t>
            </w:r>
          </w:p>
        </w:tc>
        <w:tc>
          <w:tcPr>
            <w:tcW w:type="dxa" w:w="308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bCs/>
                <w:sz w:val="20"/>
                <w:szCs w:val="20"/>
              </w:rPr>
              <w:t xml:space="preserve">100%</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8-step baseline forecast</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diverges to ~10⁷</w:t>
            </w:r>
          </w:p>
        </w:tc>
        <w:tc>
          <w:tcPr>
            <w:tcW w:type="dxa" w:w="30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sz w:val="20"/>
                <w:szCs w:val="20"/>
              </w:rPr>
              <w:t xml:space="preserve">bounded, sane</w:t>
            </w:r>
          </w:p>
        </w:tc>
      </w:tr>
      <w:tr>
        <w:trPr>
          <w:tblHeader w:val="false"/>
        </w:trPr>
        <w:tc>
          <w:tcPr>
            <w:tcW w:type="dxa" w:w="312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Shrinkage</w:t>
            </w:r>
          </w:p>
        </w:tc>
        <w:tc>
          <w:tcPr>
            <w:tcW w:type="dxa" w:w="316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amplifies (315%)</w:t>
            </w:r>
          </w:p>
        </w:tc>
        <w:tc>
          <w:tcPr>
            <w:tcW w:type="dxa" w:w="308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bCs/>
                <w:sz w:val="20"/>
                <w:szCs w:val="20"/>
              </w:rPr>
              <w:t xml:space="preserve">toward prior (~75%)</w:t>
            </w:r>
          </w:p>
        </w:tc>
      </w:tr>
    </w:tbl>
    <w:p>
      <w:pPr>
        <w:spacing w:after="120" w:before="80" w:line="276"/>
      </w:pPr>
      <w:r>
        <w:rPr>
          <w:rFonts w:ascii="Arial" w:cs="Arial" w:eastAsia="Arial" w:hAnsi="Arial"/>
          <w:i/>
          <w:iCs/>
          <w:color w:val="595959"/>
          <w:sz w:val="20"/>
          <w:szCs w:val="20"/>
        </w:rPr>
        <w:t xml:space="preserve">Two knobs control it: λ (smaller → tighter → more shrinkage) and the sum-of-coefficients tightness (smaller → stronger anti-explosive prior).</w:t>
      </w:r>
    </w:p>
    <w:p>
      <w:pPr>
        <w:pStyle w:val="Heading1"/>
        <w:pBdr>
          <w:bottom w:val="single" w:color="B7C9DD" w:sz="6" w:space="4"/>
        </w:pBdr>
        <w:spacing w:after="140" w:before="280"/>
      </w:pPr>
      <w:r>
        <w:rPr>
          <w:rFonts w:ascii="Arial" w:cs="Arial" w:eastAsia="Arial" w:hAnsi="Arial"/>
          <w:b/>
          <w:bCs/>
          <w:color w:val="1F3A5F"/>
          <w:sz w:val="30"/>
          <w:szCs w:val="30"/>
        </w:rPr>
        <w:t xml:space="preserve">5. The missing benchmark: RW / AR(1) + Diebold–Mariano</w:t>
      </w:r>
    </w:p>
    <w:p>
      <w:pPr>
        <w:spacing w:after="120" w:before="0" w:line="276"/>
      </w:pPr>
      <w:r>
        <w:rPr>
          <w:rFonts w:ascii="Arial" w:cs="Arial" w:eastAsia="Arial" w:hAnsi="Arial"/>
          <w:sz w:val="22"/>
          <w:szCs w:val="22"/>
        </w:rPr>
        <w:t xml:space="preserve">Added a proper yardstick: for every endogenous variable, the VAR’s one-step out-of-sample errors are compared against a random-walk (no-change) forecast and an expanding-window AR(1), with a Diebold–Mariano test using the Harvey–Leybourne–Newbold small-sample correction (n≈13 is tiny). The output table reports, per variable, RMSE for VAR vs RW vs AR(1), whether the VAR beats each, and whether the gap is statistically significant.</w:t>
      </w:r>
    </w:p>
    <w:p>
      <w:pPr>
        <w:spacing w:after="120" w:before="0" w:line="276"/>
      </w:pPr>
      <w:r>
        <w:rPr>
          <w:rFonts w:ascii="Arial" w:cs="Arial" w:eastAsia="Arial" w:hAnsi="Arial"/>
          <w:color w:val="595959"/>
          <w:sz w:val="20"/>
          <w:szCs w:val="20"/>
        </w:rPr>
        <w:t xml:space="preserve">Expected reading: with only ~13 quarters, most gaps will not be significant — which is itself the key result. A VAR that cannot beat a random walk for a given variable is not adding value there, and the “winners” from the shock horse race should be reported as indistinguishable from the benchmark rather than as genuine improvements.</w:t>
      </w:r>
    </w:p>
    <w:p>
      <w:pPr>
        <w:pStyle w:val="Heading1"/>
        <w:pBdr>
          <w:bottom w:val="single" w:color="B7C9DD" w:sz="6" w:space="4"/>
        </w:pBdr>
        <w:spacing w:after="140" w:before="280"/>
      </w:pPr>
      <w:r>
        <w:rPr>
          <w:rFonts w:ascii="Arial" w:cs="Arial" w:eastAsia="Arial" w:hAnsi="Arial"/>
          <w:b/>
          <w:bCs/>
          <w:color w:val="1F3A5F"/>
          <w:sz w:val="30"/>
          <w:szCs w:val="30"/>
        </w:rPr>
        <w:t xml:space="preserve">6. Recommended additional shocks (ranked)</w:t>
      </w:r>
    </w:p>
    <w:p>
      <w:pPr>
        <w:spacing w:after="120" w:before="0" w:line="276"/>
      </w:pPr>
      <w:r>
        <w:rPr>
          <w:rFonts w:ascii="Arial" w:cs="Arial" w:eastAsia="Arial" w:hAnsi="Arial"/>
          <w:sz w:val="22"/>
          <w:szCs w:val="22"/>
        </w:rPr>
        <w:t xml:space="preserve">Ranked by expected value for this model over this 2022–25 window × defensibility of exogeneity × data availability. The theme: emulate oil — externally identified and plausibly exogenous — not the demand aggregates.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560"/>
        <w:gridCol w:w="2700"/>
        <w:gridCol w:w="3060"/>
        <w:gridCol w:w="2920"/>
      </w:tblGrid>
      <w:tr>
        <w:trPr>
          <w:tblHeader/>
        </w:trPr>
        <w:tc>
          <w:tcPr>
            <w:tcW w:type="dxa" w:w="5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w:t>
            </w:r>
          </w:p>
        </w:tc>
        <w:tc>
          <w:tcPr>
            <w:tcW w:type="dxa" w:w="27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Shock</w:t>
            </w:r>
          </w:p>
        </w:tc>
        <w:tc>
          <w:tcPr>
            <w:tcW w:type="dxa" w:w="30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Source / proxy</w:t>
            </w:r>
          </w:p>
        </w:tc>
        <w:tc>
          <w:tcPr>
            <w:tcW w:type="dxa" w:w="292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Why</w:t>
            </w:r>
          </w:p>
        </w:tc>
      </w:tr>
      <w:tr>
        <w:trPr>
          <w:tblHeader w:val="false"/>
        </w:trP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1</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sz w:val="20"/>
                <w:szCs w:val="20"/>
              </w:rPr>
              <w:t xml:space="preserve">Monetary policy surprise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High-frequency fed-funds-futures surprises (Gürkaynak–Sack–Swanson); or Romer–Romer narrative</w:t>
            </w:r>
          </w:p>
        </w:tc>
        <w:tc>
          <w:tcPr>
            <w:tcW w:type="dxa" w:w="2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Biggest omission. Model has rates but no identified policy shock; most defensibly exogenous; directly drives inflation &amp; rates.</w:t>
            </w:r>
          </w:p>
        </w:tc>
      </w:tr>
      <w:tr>
        <w:trPr>
          <w:tblHeader w:val="false"/>
        </w:trPr>
        <w:tc>
          <w:tcPr>
            <w:tcW w:type="dxa" w:w="56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2</w:t>
            </w:r>
          </w:p>
        </w:tc>
        <w:tc>
          <w:tcPr>
            <w:tcW w:type="dxa" w:w="27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bCs/>
                <w:sz w:val="20"/>
                <w:szCs w:val="20"/>
              </w:rPr>
              <w:t xml:space="preserve">Credit-spread / financial conditions</w:t>
            </w:r>
          </w:p>
        </w:tc>
        <w:tc>
          <w:tcPr>
            <w:tcW w:type="dxa" w:w="306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Gilchrist–Zakrajšek Excess Bond Premium; Chicago Fed NFCI; BAA–10y spread</w:t>
            </w:r>
          </w:p>
        </w:tc>
        <w:tc>
          <w:tcPr>
            <w:tcW w:type="dxa" w:w="292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Strong, more-exogenous GDP leading indicator; would likely beat the debt-based credit impulse.</w:t>
            </w:r>
          </w:p>
        </w:tc>
      </w:tr>
      <w:tr>
        <w:trPr>
          <w:tblHeader w:val="false"/>
        </w:trP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3</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sz w:val="20"/>
                <w:szCs w:val="20"/>
              </w:rPr>
              <w:t xml:space="preserve">Global supply-chain pressure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NY Fed GSCPI</w:t>
            </w:r>
          </w:p>
        </w:tc>
        <w:tc>
          <w:tcPr>
            <w:tcW w:type="dxa" w:w="2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Arguably #1 for inflation over this exact window; the 2021–23 supply shock dominates the test period.</w:t>
            </w:r>
          </w:p>
        </w:tc>
      </w:tr>
      <w:tr>
        <w:trPr>
          <w:tblHeader w:val="false"/>
        </w:trPr>
        <w:tc>
          <w:tcPr>
            <w:tcW w:type="dxa" w:w="56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4</w:t>
            </w:r>
          </w:p>
        </w:tc>
        <w:tc>
          <w:tcPr>
            <w:tcW w:type="dxa" w:w="27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bCs/>
                <w:sz w:val="20"/>
                <w:szCs w:val="20"/>
              </w:rPr>
              <w:t xml:space="preserve">Uncertainty</w:t>
            </w:r>
          </w:p>
        </w:tc>
        <w:tc>
          <w:tcPr>
            <w:tcW w:type="dxa" w:w="306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Baker–Bloom–Davis EPU; VIX; Jurado–Ludvigson–Ng</w:t>
            </w:r>
          </w:p>
        </w:tc>
        <w:tc>
          <w:tcPr>
            <w:tcW w:type="dxa" w:w="292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Forecasts investment/GDP downturns; easy data; plausibly exogenous.</w:t>
            </w:r>
          </w:p>
        </w:tc>
      </w:tr>
      <w:tr>
        <w:trPr>
          <w:tblHeader w:val="false"/>
        </w:trP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5</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sz w:val="20"/>
                <w:szCs w:val="20"/>
              </w:rPr>
              <w:t xml:space="preserve">Foreign / external demand</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Trading-partner GDP; global PMI</w:t>
            </w:r>
          </w:p>
        </w:tc>
        <w:tc>
          <w:tcPr>
            <w:tcW w:type="dxa" w:w="2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Natural complement given REER is in the model.</w:t>
            </w:r>
          </w:p>
        </w:tc>
      </w:tr>
      <w:tr>
        <w:trPr>
          <w:tblHeader w:val="false"/>
        </w:trPr>
        <w:tc>
          <w:tcPr>
            <w:tcW w:type="dxa" w:w="56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6</w:t>
            </w:r>
          </w:p>
        </w:tc>
        <w:tc>
          <w:tcPr>
            <w:tcW w:type="dxa" w:w="27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bCs/>
                <w:sz w:val="20"/>
                <w:szCs w:val="20"/>
              </w:rPr>
              <w:t xml:space="preserve">Term premium / QE</w:t>
            </w:r>
          </w:p>
        </w:tc>
        <w:tc>
          <w:tcPr>
            <w:tcW w:type="dxa" w:w="306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ACM term premium</w:t>
            </w:r>
          </w:p>
        </w:tc>
        <w:tc>
          <w:tcPr>
            <w:tcW w:type="dxa" w:w="292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For the 10y equation and the 2020–22 QE/QT episode.</w:t>
            </w:r>
          </w:p>
        </w:tc>
      </w:tr>
      <w:tr>
        <w:trPr>
          <w:tblHeader w:val="false"/>
        </w:trP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7</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sz w:val="20"/>
                <w:szCs w:val="20"/>
              </w:rPr>
              <w:t xml:space="preserve">Labor-market surprise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Payrolls / initial claims vs consensus</w:t>
            </w:r>
          </w:p>
        </w:tc>
        <w:tc>
          <w:tcPr>
            <w:tcW w:type="dxa" w:w="29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Leading for GDP; lower priority.</w:t>
            </w:r>
          </w:p>
        </w:tc>
      </w:tr>
    </w:tbl>
    <w:p>
      <w:pPr>
        <w:spacing w:after="120" w:before="100" w:line="276"/>
      </w:pPr>
      <w:r>
        <w:rPr>
          <w:rFonts w:ascii="Arial" w:cs="Arial" w:eastAsia="Arial" w:hAnsi="Arial"/>
          <w:b/>
          <w:bCs/>
          <w:sz w:val="22"/>
          <w:szCs w:val="22"/>
        </w:rPr>
        <w:t xml:space="preserve">Just as important as adding these: </w:t>
      </w:r>
      <w:r>
        <w:rPr>
          <w:rFonts w:ascii="Arial" w:cs="Arial" w:eastAsia="Arial" w:hAnsi="Arial"/>
          <w:sz w:val="22"/>
          <w:szCs w:val="22"/>
        </w:rPr>
        <w:t xml:space="preserve">demote or drop wealth, consumption and investment as “exogenous.” Wealth measurably hurt every forecast, and none of the three are credibly exogenous to US activity.</w:t>
      </w:r>
    </w:p>
    <w:p>
      <w:pPr>
        <w:pStyle w:val="Heading1"/>
        <w:pBdr>
          <w:bottom w:val="single" w:color="B7C9DD" w:sz="6" w:space="4"/>
        </w:pBdr>
        <w:spacing w:after="140" w:before="280"/>
      </w:pPr>
      <w:r>
        <w:rPr>
          <w:rFonts w:ascii="Arial" w:cs="Arial" w:eastAsia="Arial" w:hAnsi="Arial"/>
          <w:b/>
          <w:bCs/>
          <w:color w:val="1F3A5F"/>
          <w:sz w:val="30"/>
          <w:szCs w:val="30"/>
        </w:rPr>
        <w:t xml:space="preserve">7. Priority action list</w:t>
      </w:r>
    </w:p>
    <w:p>
      <w:pPr>
        <w:pStyle w:val="ListParagraph"/>
        <w:numPr>
          <w:ilvl w:val="0"/>
          <w:numId w:val="4"/>
        </w:numPr>
        <w:spacing w:after="70" w:line="270"/>
      </w:pPr>
      <w:r>
        <w:rPr>
          <w:rFonts w:ascii="Arial" w:cs="Arial" w:eastAsia="Arial" w:hAnsi="Arial"/>
          <w:b/>
          <w:bCs/>
          <w:sz w:val="22"/>
          <w:szCs w:val="22"/>
        </w:rPr>
        <w:t xml:space="preserve">Swap in the corrected BVAR </w:t>
      </w:r>
      <w:r>
        <w:rPr>
          <w:rFonts w:ascii="Arial" w:cs="Arial" w:eastAsia="Arial" w:hAnsi="Arial"/>
          <w:sz w:val="22"/>
          <w:szCs w:val="22"/>
        </w:rPr>
        <w:t xml:space="preserve">(US_VAR_addons.ipynb, Cell 2) and re-report stability and forecasts.</w:t>
      </w:r>
    </w:p>
    <w:p>
      <w:pPr>
        <w:pStyle w:val="ListParagraph"/>
        <w:numPr>
          <w:ilvl w:val="0"/>
          <w:numId w:val="4"/>
        </w:numPr>
        <w:spacing w:after="70" w:line="270"/>
      </w:pPr>
      <w:r>
        <w:rPr>
          <w:rFonts w:ascii="Arial" w:cs="Arial" w:eastAsia="Arial" w:hAnsi="Arial"/>
          <w:b/>
          <w:bCs/>
          <w:sz w:val="22"/>
          <w:szCs w:val="22"/>
        </w:rPr>
        <w:t xml:space="preserve">Add the RW/AR(1) + Diebold–Mariano benchmark </w:t>
      </w:r>
      <w:r>
        <w:rPr>
          <w:rFonts w:ascii="Arial" w:cs="Arial" w:eastAsia="Arial" w:hAnsi="Arial"/>
          <w:sz w:val="22"/>
          <w:szCs w:val="22"/>
        </w:rPr>
        <w:t xml:space="preserve">(Cell 3); reframe shock “winners” relative to it.</w:t>
      </w:r>
    </w:p>
    <w:p>
      <w:pPr>
        <w:pStyle w:val="ListParagraph"/>
        <w:numPr>
          <w:ilvl w:val="0"/>
          <w:numId w:val="4"/>
        </w:numPr>
        <w:spacing w:after="70" w:line="270"/>
      </w:pPr>
      <w:r>
        <w:rPr>
          <w:rFonts w:ascii="Arial" w:cs="Arial" w:eastAsia="Arial" w:hAnsi="Arial"/>
          <w:b/>
          <w:bCs/>
          <w:sz w:val="22"/>
          <w:szCs w:val="22"/>
        </w:rPr>
        <w:t xml:space="preserve">Resolve stationarity: </w:t>
      </w:r>
      <w:r>
        <w:rPr>
          <w:rFonts w:ascii="Arial" w:cs="Arial" w:eastAsia="Arial" w:hAnsi="Arial"/>
          <w:sz w:val="22"/>
          <w:szCs w:val="22"/>
        </w:rPr>
        <w:t xml:space="preserve">either difference the I(1) series (inflation, 10y) or run a Johansen cointegration test and justify the levels VAR / move to a VECM.</w:t>
      </w:r>
    </w:p>
    <w:p>
      <w:pPr>
        <w:pStyle w:val="ListParagraph"/>
        <w:numPr>
          <w:ilvl w:val="0"/>
          <w:numId w:val="4"/>
        </w:numPr>
        <w:spacing w:after="70" w:line="270"/>
      </w:pPr>
      <w:r>
        <w:rPr>
          <w:rFonts w:ascii="Arial" w:cs="Arial" w:eastAsia="Arial" w:hAnsi="Arial"/>
          <w:b/>
          <w:bCs/>
          <w:sz w:val="22"/>
          <w:szCs w:val="22"/>
        </w:rPr>
        <w:t xml:space="preserve">Fix leakage: </w:t>
      </w:r>
      <w:r>
        <w:rPr>
          <w:rFonts w:ascii="Arial" w:cs="Arial" w:eastAsia="Arial" w:hAnsi="Arial"/>
          <w:sz w:val="22"/>
          <w:szCs w:val="22"/>
        </w:rPr>
        <w:t xml:space="preserve">compute shock z-scores and AR residuals on the training window only; reconsider the annual-repeat fiscal shock.</w:t>
      </w:r>
    </w:p>
    <w:p>
      <w:pPr>
        <w:pStyle w:val="ListParagraph"/>
        <w:numPr>
          <w:ilvl w:val="0"/>
          <w:numId w:val="4"/>
        </w:numPr>
        <w:spacing w:after="70" w:line="270"/>
      </w:pPr>
      <w:r>
        <w:rPr>
          <w:rFonts w:ascii="Arial" w:cs="Arial" w:eastAsia="Arial" w:hAnsi="Arial"/>
          <w:b/>
          <w:bCs/>
          <w:sz w:val="22"/>
          <w:szCs w:val="22"/>
        </w:rPr>
        <w:t xml:space="preserve">Reconsider the exogenous block: </w:t>
      </w:r>
      <w:r>
        <w:rPr>
          <w:rFonts w:ascii="Arial" w:cs="Arial" w:eastAsia="Arial" w:hAnsi="Arial"/>
          <w:sz w:val="22"/>
          <w:szCs w:val="22"/>
        </w:rPr>
        <w:t xml:space="preserve">keep oil; replace credit with the Excess Bond Premium; add a monetary-policy surprise and GSCPI; demote wealth/consumption/investment.</w:t>
      </w:r>
    </w:p>
    <w:p>
      <w:pPr>
        <w:pStyle w:val="ListParagraph"/>
        <w:numPr>
          <w:ilvl w:val="0"/>
          <w:numId w:val="4"/>
        </w:numPr>
        <w:spacing w:after="70" w:line="270"/>
      </w:pPr>
      <w:r>
        <w:rPr>
          <w:rFonts w:ascii="Arial" w:cs="Arial" w:eastAsia="Arial" w:hAnsi="Arial"/>
          <w:b/>
          <w:bCs/>
          <w:sz w:val="22"/>
          <w:szCs w:val="22"/>
        </w:rPr>
        <w:t xml:space="preserve">Correct the ML section: </w:t>
      </w:r>
      <w:r>
        <w:rPr>
          <w:rFonts w:ascii="Arial" w:cs="Arial" w:eastAsia="Arial" w:hAnsi="Arial"/>
          <w:sz w:val="22"/>
          <w:szCs w:val="22"/>
        </w:rPr>
        <w:t xml:space="preserve">use Gradient Boosting as the champion, include oil, and note tree models’ inability to extrapolate.</w:t>
      </w:r>
    </w:p>
    <w:p>
      <w:pPr>
        <w:pStyle w:val="Heading1"/>
        <w:pBdr>
          <w:bottom w:val="single" w:color="B7C9DD" w:sz="6" w:space="4"/>
        </w:pBdr>
        <w:spacing w:after="140" w:before="280"/>
      </w:pPr>
      <w:r>
        <w:rPr>
          <w:rFonts w:ascii="Arial" w:cs="Arial" w:eastAsia="Arial" w:hAnsi="Arial"/>
          <w:b/>
          <w:bCs/>
          <w:color w:val="1F3A5F"/>
          <w:sz w:val="30"/>
          <w:szCs w:val="30"/>
        </w:rPr>
        <w:t xml:space="preserve">Appendix A. Results on the actual data</w:t>
      </w:r>
    </w:p>
    <w:p>
      <w:pPr>
        <w:spacing w:after="120" w:before="0" w:line="276"/>
      </w:pPr>
      <w:r>
        <w:rPr>
          <w:rFonts w:ascii="Arial" w:cs="Arial" w:eastAsia="Arial" w:hAnsi="Arial"/>
          <w:sz w:val="22"/>
          <w:szCs w:val="22"/>
        </w:rPr>
        <w:t xml:space="preserve">Run on the supplied main_var_with_shocks.xlsx (quarterly 2000Q1–2025Q1; train 2001Q1–2021Q4, test 2022Q1–2025Q1, n=13).</w:t>
      </w:r>
    </w:p>
    <w:p>
      <w:pPr>
        <w:pStyle w:val="Heading2"/>
        <w:spacing w:after="90" w:before="200"/>
      </w:pPr>
      <w:r>
        <w:rPr>
          <w:rFonts w:ascii="Arial" w:cs="Arial" w:eastAsia="Arial" w:hAnsi="Arial"/>
          <w:b/>
          <w:bCs/>
          <w:color w:val="2E75B6"/>
          <w:sz w:val="24"/>
          <w:szCs w:val="24"/>
        </w:rPr>
        <w:t xml:space="preserve">A.1 BVAR stability</w:t>
      </w:r>
    </w:p>
    <w:p>
      <w:pPr>
        <w:spacing w:after="120" w:before="0" w:line="276"/>
      </w:pPr>
      <w:r>
        <w:rPr>
          <w:rFonts w:ascii="Arial" w:cs="Arial" w:eastAsia="Arial" w:hAnsi="Arial"/>
          <w:sz w:val="22"/>
          <w:szCs w:val="22"/>
        </w:rPr>
        <w:t xml:space="preserve">The plain OLS VAR is explosive on this data </w:t>
      </w:r>
      <w:r>
        <w:rPr>
          <w:rFonts w:ascii="Arial" w:cs="Arial" w:eastAsia="Arial" w:hAnsi="Arial"/>
          <w:b/>
          <w:bCs/>
          <w:sz w:val="22"/>
          <w:szCs w:val="22"/>
        </w:rPr>
        <w:t xml:space="preserve">(companion eigenvalue 1.068)</w:t>
      </w:r>
      <w:r>
        <w:rPr>
          <w:rFonts w:ascii="Arial" w:cs="Arial" w:eastAsia="Arial" w:hAnsi="Arial"/>
          <w:sz w:val="22"/>
          <w:szCs w:val="22"/>
        </w:rPr>
        <w:t xml:space="preserve"> — a direct consequence of the non-stationary levels in Section 3 (weakness 2). The corrected BVAR stabilizes it; tightness controls how much: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360"/>
      </w:tblGrid>
      <w:tr>
        <w:trPr>
          <w:tblHeader/>
        </w:trPr>
        <w:tc>
          <w:tcPr>
            <w:tcW w:type="dxa" w:w="44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Setting (λ, sum-of-coeff)</w:t>
            </w:r>
          </w:p>
        </w:tc>
        <w:tc>
          <w:tcPr>
            <w:tcW w:type="dxa" w:w="26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BVAR max eigenvalue</w:t>
            </w:r>
          </w:p>
        </w:tc>
        <w:tc>
          <w:tcPr>
            <w:tcW w:type="dxa" w:w="23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Stable draws</w:t>
            </w:r>
          </w:p>
        </w:tc>
      </w:tr>
      <w:tr>
        <w:trPr>
          <w:tblHeader w:val="false"/>
        </w:trPr>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OLS (no prior)</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1.068  (explosive)</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w:t>
            </w:r>
          </w:p>
        </w:tc>
      </w:tr>
      <w:tr>
        <w:trPr>
          <w:tblHeader w:val="false"/>
        </w:trPr>
        <w:tc>
          <w:tcPr>
            <w:tcW w:type="dxa" w:w="44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λ=0.20, μ=1.0  (loose)</w:t>
            </w:r>
          </w:p>
        </w:tc>
        <w:tc>
          <w:tcPr>
            <w:tcW w:type="dxa" w:w="26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1.004  (unstable)</w:t>
            </w:r>
          </w:p>
        </w:tc>
        <w:tc>
          <w:tcPr>
            <w:tcW w:type="dxa" w:w="236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38%</w:t>
            </w:r>
          </w:p>
        </w:tc>
      </w:tr>
      <w:tr>
        <w:trPr>
          <w:tblHeader w:val="false"/>
        </w:trPr>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λ=0.10, μ=0.5</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0.961  (stable)</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56%</w:t>
            </w:r>
          </w:p>
        </w:tc>
      </w:tr>
      <w:tr>
        <w:trPr>
          <w:tblHeader w:val="false"/>
        </w:trPr>
        <w:tc>
          <w:tcPr>
            <w:tcW w:type="dxa" w:w="44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bCs/>
                <w:sz w:val="20"/>
                <w:szCs w:val="20"/>
              </w:rPr>
              <w:t xml:space="preserve">λ=0.05, μ=0.3  (recommended)</w:t>
            </w:r>
          </w:p>
        </w:tc>
        <w:tc>
          <w:tcPr>
            <w:tcW w:type="dxa" w:w="26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bCs/>
                <w:sz w:val="20"/>
                <w:szCs w:val="20"/>
              </w:rPr>
              <w:t xml:space="preserve">0.959  (stable)</w:t>
            </w:r>
          </w:p>
        </w:tc>
        <w:tc>
          <w:tcPr>
            <w:tcW w:type="dxa" w:w="236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bCs/>
                <w:sz w:val="20"/>
                <w:szCs w:val="20"/>
              </w:rPr>
              <w:t xml:space="preserve">78%</w:t>
            </w:r>
          </w:p>
        </w:tc>
      </w:tr>
    </w:tbl>
    <w:p>
      <w:pPr>
        <w:spacing w:after="120" w:before="80" w:line="276"/>
      </w:pPr>
      <w:r>
        <w:rPr>
          <w:rFonts w:ascii="Arial" w:cs="Arial" w:eastAsia="Arial" w:hAnsi="Arial"/>
          <w:sz w:val="22"/>
          <w:szCs w:val="22"/>
        </w:rPr>
        <w:t xml:space="preserve">Recommended λ=0.05, μ=0.3 (now the default in the notebook). The 8-step baseline GDP forecast is bounded and mean-reverting (≈3.7 → 0 over two years); the original BVAR diverged to ~10⁷.</w:t>
      </w:r>
    </w:p>
    <w:p>
      <w:pPr>
        <w:pStyle w:val="Heading2"/>
        <w:spacing w:after="90" w:before="200"/>
      </w:pPr>
      <w:r>
        <w:rPr>
          <w:rFonts w:ascii="Arial" w:cs="Arial" w:eastAsia="Arial" w:hAnsi="Arial"/>
          <w:b/>
          <w:bCs/>
          <w:color w:val="2E75B6"/>
          <w:sz w:val="24"/>
          <w:szCs w:val="24"/>
        </w:rPr>
        <w:t xml:space="preserve">A.2 VAR vs naive benchmarks — one-step OOS RMSE</w:t>
      </w:r>
    </w:p>
    <w:p>
      <w:pPr>
        <w:spacing w:after="120" w:before="0" w:line="276"/>
      </w:pPr>
      <w:r>
        <w:rPr>
          <w:rFonts w:ascii="Arial" w:cs="Arial" w:eastAsia="Arial" w:hAnsi="Arial"/>
          <w:sz w:val="22"/>
          <w:szCs w:val="22"/>
        </w:rPr>
        <w:t xml:space="preserve">Regularized BVAR one-step forecasts vs random walk and AR(1), with Diebold–Mariano p-values (HLN-corrected). Your reported pruned-VAR baseline RMSEs are shown for reference. Lower RMSE is better; * = significant at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840"/>
        <w:gridCol w:w="1280"/>
        <w:gridCol w:w="1280"/>
        <w:gridCol w:w="1180"/>
        <w:gridCol w:w="1420"/>
      </w:tblGrid>
      <w:tr>
        <w:trPr>
          <w:tblHeader/>
        </w:trPr>
        <w:tc>
          <w:tcPr>
            <w:tcW w:type="dxa" w:w="23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Variable</w:t>
            </w:r>
          </w:p>
        </w:tc>
        <w:tc>
          <w:tcPr>
            <w:tcW w:type="dxa" w:w="184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VAR (yours)</w:t>
            </w:r>
          </w:p>
        </w:tc>
        <w:tc>
          <w:tcPr>
            <w:tcW w:type="dxa" w:w="128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BVAR</w:t>
            </w:r>
          </w:p>
        </w:tc>
        <w:tc>
          <w:tcPr>
            <w:tcW w:type="dxa" w:w="128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RW</w:t>
            </w:r>
          </w:p>
        </w:tc>
        <w:tc>
          <w:tcPr>
            <w:tcW w:type="dxa" w:w="118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AR(1)</w:t>
            </w:r>
          </w:p>
        </w:tc>
        <w:tc>
          <w:tcPr>
            <w:tcW w:type="dxa" w:w="142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rFonts w:ascii="Arial" w:cs="Arial" w:eastAsia="Arial" w:hAnsi="Arial"/>
                <w:b/>
                <w:bCs/>
                <w:color w:val="FFFFFF"/>
                <w:sz w:val="20"/>
                <w:szCs w:val="20"/>
              </w:rPr>
              <w:t xml:space="preserve">DM vs RW</w:t>
            </w:r>
          </w:p>
        </w:tc>
      </w:tr>
      <w:tr>
        <w:trPr>
          <w:tblHeader w:val="false"/>
        </w:trPr>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gdp_yoy</w:t>
            </w:r>
          </w:p>
        </w:tc>
        <w:tc>
          <w:tcPr>
            <w:tcW w:type="dxa" w:w="18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0.604</w:t>
            </w:r>
          </w:p>
        </w:tc>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sz w:val="20"/>
                <w:szCs w:val="20"/>
              </w:rPr>
              <w:t xml:space="preserve">0.478</w:t>
            </w:r>
          </w:p>
        </w:tc>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0.794</w:t>
            </w:r>
          </w:p>
        </w:tc>
        <w:tc>
          <w:tcPr>
            <w:tcW w:type="dxa" w:w="11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0.508</w:t>
            </w:r>
          </w:p>
        </w:tc>
        <w:tc>
          <w:tcPr>
            <w:tcW w:type="dxa" w:w="14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0.143</w:t>
            </w:r>
          </w:p>
        </w:tc>
      </w:tr>
      <w:tr>
        <w:trPr>
          <w:tblHeader w:val="false"/>
        </w:trPr>
        <w:tc>
          <w:tcPr>
            <w:tcW w:type="dxa" w:w="236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inflation_yoy</w:t>
            </w:r>
          </w:p>
        </w:tc>
        <w:tc>
          <w:tcPr>
            <w:tcW w:type="dxa" w:w="184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0.276</w:t>
            </w:r>
          </w:p>
        </w:tc>
        <w:tc>
          <w:tcPr>
            <w:tcW w:type="dxa" w:w="128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0.351</w:t>
            </w:r>
          </w:p>
        </w:tc>
        <w:tc>
          <w:tcPr>
            <w:tcW w:type="dxa" w:w="128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0.395</w:t>
            </w:r>
          </w:p>
        </w:tc>
        <w:tc>
          <w:tcPr>
            <w:tcW w:type="dxa" w:w="118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0.395</w:t>
            </w:r>
          </w:p>
        </w:tc>
        <w:tc>
          <w:tcPr>
            <w:tcW w:type="dxa" w:w="142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0.411</w:t>
            </w:r>
          </w:p>
        </w:tc>
      </w:tr>
      <w:tr>
        <w:trPr>
          <w:tblHeader w:val="false"/>
        </w:trPr>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reer_yoy</w:t>
            </w:r>
          </w:p>
        </w:tc>
        <w:tc>
          <w:tcPr>
            <w:tcW w:type="dxa" w:w="18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2.821</w:t>
            </w:r>
          </w:p>
        </w:tc>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sz w:val="20"/>
                <w:szCs w:val="20"/>
              </w:rPr>
              <w:t xml:space="preserve">3.136</w:t>
            </w:r>
          </w:p>
        </w:tc>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3.559</w:t>
            </w:r>
          </w:p>
        </w:tc>
        <w:tc>
          <w:tcPr>
            <w:tcW w:type="dxa" w:w="11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3.336</w:t>
            </w:r>
          </w:p>
        </w:tc>
        <w:tc>
          <w:tcPr>
            <w:tcW w:type="dxa" w:w="14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sz w:val="20"/>
                <w:szCs w:val="20"/>
              </w:rPr>
              <w:t xml:space="preserve">0.026 *</w:t>
            </w:r>
          </w:p>
        </w:tc>
      </w:tr>
      <w:tr>
        <w:trPr>
          <w:tblHeader w:val="false"/>
        </w:trPr>
        <w:tc>
          <w:tcPr>
            <w:tcW w:type="dxa" w:w="236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10yTbill</w:t>
            </w:r>
          </w:p>
        </w:tc>
        <w:tc>
          <w:tcPr>
            <w:tcW w:type="dxa" w:w="184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0.534</w:t>
            </w:r>
          </w:p>
        </w:tc>
        <w:tc>
          <w:tcPr>
            <w:tcW w:type="dxa" w:w="128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bCs/>
                <w:sz w:val="20"/>
                <w:szCs w:val="20"/>
              </w:rPr>
              <w:t xml:space="preserve">0.467</w:t>
            </w:r>
          </w:p>
        </w:tc>
        <w:tc>
          <w:tcPr>
            <w:tcW w:type="dxa" w:w="128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0.480</w:t>
            </w:r>
          </w:p>
        </w:tc>
        <w:tc>
          <w:tcPr>
            <w:tcW w:type="dxa" w:w="118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0.477</w:t>
            </w:r>
          </w:p>
        </w:tc>
        <w:tc>
          <w:tcPr>
            <w:tcW w:type="dxa" w:w="142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tcPr>
          <w:p>
            <w:r>
              <w:rPr>
                <w:rFonts w:ascii="Arial" w:cs="Arial" w:eastAsia="Arial" w:hAnsi="Arial"/>
                <w:b w:val="false"/>
                <w:bCs w:val="false"/>
                <w:sz w:val="20"/>
                <w:szCs w:val="20"/>
              </w:rPr>
              <w:t xml:space="preserve">0.821</w:t>
            </w:r>
          </w:p>
        </w:tc>
      </w:tr>
      <w:tr>
        <w:trPr>
          <w:tblHeader w:val="false"/>
        </w:trPr>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nir (policy)</w:t>
            </w:r>
          </w:p>
        </w:tc>
        <w:tc>
          <w:tcPr>
            <w:tcW w:type="dxa" w:w="18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0.544</w:t>
            </w:r>
          </w:p>
        </w:tc>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0.725</w:t>
            </w:r>
          </w:p>
        </w:tc>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0.697</w:t>
            </w:r>
          </w:p>
        </w:tc>
        <w:tc>
          <w:tcPr>
            <w:tcW w:type="dxa" w:w="11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0.737</w:t>
            </w:r>
          </w:p>
        </w:tc>
        <w:tc>
          <w:tcPr>
            <w:tcW w:type="dxa" w:w="14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0.750</w:t>
            </w:r>
          </w:p>
        </w:tc>
      </w:tr>
    </w:tbl>
    <w:p>
      <w:pPr>
        <w:spacing w:after="80" w:before="100"/>
      </w:pPr>
      <w:r>
        <w:rPr>
          <w:rFonts w:ascii="Arial" w:cs="Arial" w:eastAsia="Arial" w:hAnsi="Arial"/>
          <w:b/>
          <w:bCs/>
          <w:sz w:val="22"/>
          <w:szCs w:val="22"/>
        </w:rPr>
        <w:t xml:space="preserve">What the real data say:</w:t>
      </w:r>
    </w:p>
    <w:p>
      <w:pPr>
        <w:pStyle w:val="ListParagraph"/>
        <w:numPr>
          <w:ilvl w:val="0"/>
          <w:numId w:val="2"/>
        </w:numPr>
        <w:spacing w:after="70" w:line="270"/>
      </w:pPr>
      <w:r>
        <w:rPr>
          <w:rFonts w:ascii="Arial" w:cs="Arial" w:eastAsia="Arial" w:hAnsi="Arial"/>
          <w:b/>
          <w:bCs/>
          <w:sz w:val="22"/>
          <w:szCs w:val="22"/>
        </w:rPr>
        <w:t xml:space="preserve">The BVAR beats the random walk on four of five variables</w:t>
      </w:r>
      <w:r>
        <w:rPr>
          <w:rFonts w:ascii="Arial" w:cs="Arial" w:eastAsia="Arial" w:hAnsi="Arial"/>
          <w:sz w:val="22"/>
          <w:szCs w:val="22"/>
        </w:rPr>
        <w:t xml:space="preserve">, but significantly on only one — REER (p=0.026). The corrected BVAR also edges your pruned VAR on GDP (0.478 vs 0.604) and the 10y.</w:t>
      </w:r>
    </w:p>
    <w:p>
      <w:pPr>
        <w:pStyle w:val="ListParagraph"/>
        <w:numPr>
          <w:ilvl w:val="0"/>
          <w:numId w:val="2"/>
        </w:numPr>
        <w:spacing w:after="70" w:line="270"/>
      </w:pPr>
      <w:r>
        <w:rPr>
          <w:rFonts w:ascii="Arial" w:cs="Arial" w:eastAsia="Arial" w:hAnsi="Arial"/>
          <w:sz w:val="22"/>
          <w:szCs w:val="22"/>
        </w:rPr>
        <w:t xml:space="preserve">GDP’s real competitor is AR(1) </w:t>
      </w:r>
      <w:r>
        <w:rPr>
          <w:rFonts w:ascii="Arial" w:cs="Arial" w:eastAsia="Arial" w:hAnsi="Arial"/>
          <w:sz w:val="22"/>
          <w:szCs w:val="22"/>
        </w:rPr>
        <w:t xml:space="preserve">(RMSE 0.508), which the VAR barely beats; inflation is essentially a tie with naive.</w:t>
      </w:r>
    </w:p>
    <w:p>
      <w:pPr>
        <w:pStyle w:val="ListParagraph"/>
        <w:numPr>
          <w:ilvl w:val="0"/>
          <w:numId w:val="2"/>
        </w:numPr>
        <w:spacing w:after="70" w:line="270"/>
      </w:pPr>
      <w:r>
        <w:rPr>
          <w:rFonts w:ascii="Arial" w:cs="Arial" w:eastAsia="Arial" w:hAnsi="Arial"/>
          <w:b/>
          <w:bCs/>
          <w:sz w:val="22"/>
          <w:szCs w:val="22"/>
        </w:rPr>
        <w:t xml:space="preserve">The rate block is the weak spot </w:t>
      </w:r>
      <w:r>
        <w:rPr>
          <w:rFonts w:ascii="Arial" w:cs="Arial" w:eastAsia="Arial" w:hAnsi="Arial"/>
          <w:sz w:val="22"/>
          <w:szCs w:val="22"/>
        </w:rPr>
        <w:t xml:space="preserve">— the policy rate (nir) is the one variable where a no-change random walk wins, and the 10y gains are marginal. Persistent rates are hard to beat with anything richer than “no change.”</w:t>
      </w:r>
    </w:p>
    <w:p>
      <w:pPr>
        <w:pStyle w:val="ListParagraph"/>
        <w:numPr>
          <w:ilvl w:val="0"/>
          <w:numId w:val="2"/>
        </w:numPr>
        <w:spacing w:after="70" w:line="270"/>
      </w:pPr>
      <w:r>
        <w:rPr>
          <w:rFonts w:ascii="Arial" w:cs="Arial" w:eastAsia="Arial" w:hAnsi="Arial"/>
          <w:sz w:val="22"/>
          <w:szCs w:val="22"/>
        </w:rPr>
        <w:t xml:space="preserve">With n=13, only one gap is statistically significant </w:t>
      </w:r>
      <w:r>
        <w:rPr>
          <w:rFonts w:ascii="Arial" w:cs="Arial" w:eastAsia="Arial" w:hAnsi="Arial"/>
          <w:sz w:val="22"/>
          <w:szCs w:val="22"/>
        </w:rPr>
        <w:t xml:space="preserve">— so the per-equation “winners” from the shock horse race should be reported as indistinguishable from the benchmark, not as genuine improvements.</w:t>
      </w:r>
    </w:p>
    <w:p>
      <w:pPr>
        <w:pBdr>
          <w:top w:val="single" w:color="B7C9DD" w:sz="4" w:space="6"/>
        </w:pBdr>
        <w:spacing w:before="220"/>
      </w:pPr>
      <w:r>
        <w:rPr>
          <w:rFonts w:ascii="Arial" w:cs="Arial" w:eastAsia="Arial" w:hAnsi="Arial"/>
          <w:b/>
          <w:bCs/>
          <w:color w:val="595959"/>
          <w:sz w:val="18"/>
          <w:szCs w:val="18"/>
        </w:rPr>
        <w:t xml:space="preserve">Key references: </w:t>
      </w:r>
      <w:r>
        <w:rPr>
          <w:rFonts w:ascii="Arial" w:cs="Arial" w:eastAsia="Arial" w:hAnsi="Arial"/>
          <w:i/>
          <w:iCs/>
          <w:color w:val="595959"/>
          <w:sz w:val="18"/>
          <w:szCs w:val="18"/>
        </w:rPr>
        <w:t xml:space="preserve">Bańbura, Giannone &amp; Reichlin (2010), “Large Bayesian VARs,” J. Applied Econometrics (Minnesota prior via dummy observations). Diebold &amp; Mariano (1995); Harvey, Leybourne &amp; Newbold (1997) for the small-sample correction. Gilchrist &amp; Zakrajšek (2012) for the Excess Bond Premium. Gürkaynak, Sack &amp; Swanson (2005) for high-frequency monetary surprises.</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9DD" w:sz="4" w:space="4"/>
      </w:pBdr>
      <w:tabs>
        <w:tab w:val="right" w:pos="9360"/>
      </w:tabs>
    </w:pPr>
    <w:r>
      <w:rPr>
        <w:rFonts w:ascii="Arial" w:cs="Arial" w:eastAsia="Arial" w:hAnsi="Arial"/>
        <w:i/>
        <w:iCs/>
        <w:color w:val="595959"/>
        <w:sz w:val="16"/>
        <w:szCs w:val="16"/>
      </w:rPr>
      <w:t xml:space="preserve">US Macro VAR — Methodology Review</w:t>
    </w:r>
    <w:r>
      <w:rPr>
        <w:rFonts w:ascii="Arial" w:cs="Arial" w:eastAsia="Arial" w:hAnsi="Arial"/>
      </w:rPr>
      <w:t xml:space="preserve">	</w:t>
    </w:r>
    <w:r>
      <w:rPr>
        <w:rFonts w:ascii="Arial" w:cs="Arial" w:eastAsia="Arial" w:hAnsi="Arial"/>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2026-06-24T09:55:17.422Z</dcterms:created>
  <dcterms:modified xsi:type="dcterms:W3CDTF">2026-06-24T09:55:17.422Z</dcterms:modified>
</cp:coreProperties>
</file>

<file path=docProps/custom.xml><?xml version="1.0" encoding="utf-8"?>
<Properties xmlns="http://schemas.openxmlformats.org/officeDocument/2006/custom-properties" xmlns:vt="http://schemas.openxmlformats.org/officeDocument/2006/docPropsVTypes"/>
</file>