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A Systematic Multi-Factor Equity Strategy for the Singapore Exchange: Construction, Empirical Analysis, and Macro Regime Conditioning</w:t>
      </w:r>
    </w:p>
    <w:p>
      <w:pPr>
        <w:spacing w:after="40" w:before="0"/>
        <w:jc w:val="center"/>
      </w:pPr>
      <w:r>
        <w:rPr>
          <w:rFonts w:ascii="Times New Roman" w:cs="Times New Roman" w:eastAsia="Times New Roman" w:hAnsi="Times New Roman"/>
          <w:b/>
          <w:bCs/>
          <w:sz w:val="20"/>
          <w:szCs w:val="20"/>
        </w:rPr>
        <w:t xml:space="preserve">Nicholas Hong</w:t>
      </w:r>
    </w:p>
    <w:p>
      <w:pPr>
        <w:spacing w:after="40" w:before="0"/>
        <w:jc w:val="center"/>
      </w:pPr>
      <w:r>
        <w:rPr>
          <w:rFonts w:ascii="Times New Roman" w:cs="Times New Roman" w:eastAsia="Times New Roman" w:hAnsi="Times New Roman"/>
          <w:sz w:val="20"/>
          <w:szCs w:val="20"/>
        </w:rPr>
        <w:t xml:space="preserve">School of Electrical and Electronic Engineering, Nanyang Technological University, Singapore</w:t>
      </w:r>
    </w:p>
    <w:p>
      <w:pPr>
        <w:spacing w:after="160" w:before="0"/>
        <w:jc w:val="center"/>
      </w:pPr>
      <w:r>
        <w:rPr>
          <w:rFonts w:ascii="Times New Roman" w:cs="Times New Roman" w:eastAsia="Times New Roman" w:hAnsi="Times New Roman"/>
          <w:sz w:val="20"/>
          <w:szCs w:val="20"/>
        </w:rPr>
        <w:t xml:space="preserve">Email: NHON0001@e.ntu.edu.sg</w:t>
      </w:r>
    </w:p>
    <w:p>
      <w:pPr>
        <w:pBdr>
          <w:bottom w:val="single" w:color="000000" w:sz="6" w:space="1"/>
        </w:pBdr>
        <w:spacing w:after="0" w:before="0"/>
      </w:pPr>
    </w:p>
    <w:p>
      <w:pPr>
        <w:spacing w:after="80" w:before="80" w:line="2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 This paper presents a systematic, rules-based multi-factor equity strategy targeting constituents of the Straits Times Index (STI) on the Singapore Exchange (SGX). Motivated by the relative scarcity of empirical factor research on SGX and the market's structural characteristics — high dividend yields, REIT dominance, and sensitivity to regional macroeconomic cycles — we construct eight cross-sectional factor signals derived from Bloomberg terminal data spanning January 2001 to January 2026. Factors include price momentum (12-1 month, 6-1 month), book-to-market ratio, dividend yield, inverse price-to-earnings, return on equity, market capitalisation, and an Amihud [1] illiquidity proxy. Factor scores are z-normalised cross-sectionally and combined into an Information Coefficient (IC)-weighted composite signal. A monthly-rebalanced long-only portfolio selecting the top quintile of 30 STI stocks achieves an annualised return of 11.26%, a Sharpe ratio of 0.515, and a statistically significant CAPM alpha of 7.83% per annum (</w:t>
      </w:r>
      <w:r>
        <w:rPr>
          <w:rFonts w:ascii="Times New Roman" w:cs="Times New Roman" w:eastAsia="Times New Roman" w:hAnsi="Times New Roman"/>
          <w:sz w:val="20"/>
          <w:szCs w:val="20"/>
        </w:rPr>
        <w:t xml:space="preserve">p</w:t>
      </w:r>
      <w:r>
        <w:rPr>
          <w:rFonts w:ascii="Times New Roman" w:cs="Times New Roman" w:eastAsia="Times New Roman" w:hAnsi="Times New Roman"/>
          <w:i/>
          <w:iCs/>
          <w:sz w:val="20"/>
          <w:szCs w:val="20"/>
        </w:rPr>
        <w:t xml:space="preserve"> &lt; 0.0001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0.877) versus the STI benchmark over 228 months from 2007 to 2026. The IC-weighted composite attains a mean Information Coefficient of 0.068 with 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-statistic of 3.70, significantly exceeding any individual factor. Tercile portfolio analysis confirms monotonic return ordering (T1: 2.93%, T2: 5.59%, T3: 7.47% annualised). Regime conditioning reveals that the value-heavy composite is defensively positioned, achieving Sharpe 0.71 in risk-off environments versus 0.30 in risk-on periods. These findings extend the Fama-French [2] factor framework to SGX, confirm the SGX income effect documented in regional studies, and demonstrate that IC-weighted composite construction outperforms naive equal-weighting in a small-universe setting.</w:t>
      </w:r>
    </w:p>
    <w:p>
      <w:pPr>
        <w:spacing w:after="80" w:before="8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 — factor investing, SGX equities, multi-factor model, Information Coefficient, momentum, value, Fama-French, regime conditioning, Singapore Exchange</w:t>
      </w:r>
    </w:p>
    <w:p>
      <w:pPr>
        <w:pBdr>
          <w:bottom w:val="single" w:color="000000" w:sz="6" w:space="1"/>
        </w:pBdr>
        <w:spacing w:after="0" w:before="0"/>
      </w:pPr>
    </w:p>
    <w:p>
      <w:pPr>
        <w:spacing w:after="12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I. INTRODUCTION</w:t>
      </w:r>
    </w:p>
    <w:p>
      <w:pPr>
        <w:spacing w:after="80" w:before="0" w:line="240" w:lineRule="auto"/>
        <w:ind w:firstLine="360"/>
        <w:jc w:val="both"/>
      </w:pPr>
      <w:r>
        <w:rPr>
          <w:rFonts w:ascii="Times New Roman" w:cs="Times New Roman" w:eastAsia="Times New Roman" w:hAnsi="Times New Roman"/>
          <w:sz w:val="20"/>
          <w:szCs w:val="20"/>
        </w:rPr>
        <w:t xml:space="preserve">The empirical asset pricing literature has established that systematic, rules-based factor strategies can generate risk-adjusted excess returns over passive market benchmarks. Foundational contributions by Fama and French [2], Carhart [3], and Jegadeesh and Titman [4] demonstrated that cross-sectional variation in equity returns is substantially explained by exposures to size, value, momentum, and related factors. This body of work has spawned a large practical industry in factor investing, predominantly studied and implemented in US and developed European markets.</w:t>
      </w:r>
    </w:p>
    <w:p>
      <w:pPr>
        <w:spacing w:after="80" w:before="0" w:line="240" w:lineRule="auto"/>
        <w:ind w:firstLine="360"/>
        <w:jc w:val="both"/>
      </w:pPr>
      <w:r>
        <w:rPr>
          <w:rFonts w:ascii="Times New Roman" w:cs="Times New Roman" w:eastAsia="Times New Roman" w:hAnsi="Times New Roman"/>
          <w:sz w:val="20"/>
          <w:szCs w:val="20"/>
        </w:rPr>
        <w:t xml:space="preserve">The Singapore Exchange (SGX) presents a distinctly underexplored setting for such inquiry. Despite being Southeast Asia's most developed equity market by institutional depth and liquidity, the SGX has attracted comparatively little systematic factor research. This gap is surprising given the market's structural characteristics that plausibly generate factor premia. The STI is heavily concentrated in real estate investment trusts (REITs) and banking stocks, creating a structurally high-yield environment. Lower analyst coverage relative to major US indices implies slower information diffusion, which may sustain momentum and value anomalies. Furthermore, SGX equities are meaningfully exposed to Chinese and regional macroeconomic cycles, suggesting that macro regime conditioning could provide additional explanatory power beyond static factor models.</w:t>
      </w:r>
    </w:p>
    <w:p>
      <w:pPr>
        <w:spacing w:after="80" w:before="0" w:line="240" w:lineRule="auto"/>
        <w:ind w:firstLine="360"/>
        <w:jc w:val="both"/>
      </w:pPr>
      <w:r>
        <w:rPr>
          <w:rFonts w:ascii="Times New Roman" w:cs="Times New Roman" w:eastAsia="Times New Roman" w:hAnsi="Times New Roman"/>
          <w:sz w:val="20"/>
          <w:szCs w:val="20"/>
        </w:rPr>
        <w:t xml:space="preserve">This paper addresses three research questions. First, which cross-sectional factors carry statistically significant predictive power for one-month-ahead returns on STI constituents? Second, does an IC-weighted composite outperform equal-weight factor combination in this small-universe setting? Third, does conditioning on macro regimes — specifically global risk-appetite (VIX/SPX) and Singapore PMI — materially alter strategy performance characteristics?</w:t>
      </w:r>
    </w:p>
    <w:p>
      <w:pPr>
        <w:spacing w:after="80" w:before="0" w:line="240" w:lineRule="auto"/>
        <w:ind w:firstLine="360"/>
        <w:jc w:val="both"/>
      </w:pPr>
      <w:r>
        <w:rPr>
          <w:rFonts w:ascii="Times New Roman" w:cs="Times New Roman" w:eastAsia="Times New Roman" w:hAnsi="Times New Roman"/>
          <w:sz w:val="20"/>
          <w:szCs w:val="20"/>
        </w:rPr>
        <w:t xml:space="preserve">We construct a monthly panel of 30 STI stocks spanning 2001-2026, extract eight Bloomberg-sourced factor signals, and implement a clean walk-forward backtest with 20 basis-point round-trip transaction costs and quarterly fundamental data lagged by 45 days to eliminate look-ahead bias. The results demonstrate that value and income factors dominate in SGX — consistent with the market's high-dividend institutional structure — while the IC-weighted composite achieves a Composite IC t-statistic of 3.70 and generates 7.83% annualised alpha against the STI. The strategy performs markedly better in risk-off regimes, a finding that distinguishes the SGX value premium from US momentum strategies and has direct implications for tactical allocation.</w:t>
      </w:r>
    </w:p>
    <w:p>
      <w:pPr>
        <w:spacing w:after="80" w:before="0" w:line="240" w:lineRule="auto"/>
        <w:ind w:firstLine="360"/>
        <w:jc w:val="both"/>
      </w:pPr>
      <w:r>
        <w:rPr>
          <w:rFonts w:ascii="Times New Roman" w:cs="Times New Roman" w:eastAsia="Times New Roman" w:hAnsi="Times New Roman"/>
          <w:sz w:val="20"/>
          <w:szCs w:val="20"/>
        </w:rPr>
        <w:t xml:space="preserve">The remainder of this paper is structured as follows. Section II reviews relevant literature. Section III describes data sources and the Bloomberg extraction methodology. Section IV presents the factor construction framework. Section V details portfolio construction and backtest design. Section VI reports empirical results. Section VII analyses macro regime conditioning. Section VIII discusses limitations and future work. Section IX concludes.</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II. LITERATURE REVIEW</w:t>
      </w:r>
    </w:p>
    <w:p>
      <w:pPr>
        <w:spacing w:after="60" w:before="120"/>
      </w:pPr>
      <w:r>
        <w:rPr>
          <w:rFonts w:ascii="Times New Roman" w:cs="Times New Roman" w:eastAsia="Times New Roman" w:hAnsi="Times New Roman"/>
          <w:b/>
          <w:bCs/>
          <w:i/>
          <w:iCs/>
          <w:sz w:val="20"/>
          <w:szCs w:val="20"/>
        </w:rPr>
        <w:t xml:space="preserve">A. Foundational Factor Models</w:t>
      </w:r>
    </w:p>
    <w:p>
      <w:pPr>
        <w:spacing w:after="80" w:before="0" w:line="240" w:lineRule="auto"/>
        <w:ind w:firstLine="360"/>
        <w:jc w:val="both"/>
      </w:pPr>
      <w:r>
        <w:rPr>
          <w:rFonts w:ascii="Times New Roman" w:cs="Times New Roman" w:eastAsia="Times New Roman" w:hAnsi="Times New Roman"/>
          <w:sz w:val="20"/>
          <w:szCs w:val="20"/>
        </w:rPr>
        <w:t xml:space="preserve">The modern multi-factor framework originates with the Capital Asset Pricing Model (CAPM) and its empirical testing methodology formalised by Fama and MacBeth [5], who introduced the cross-sectional regression approach that remains the standard for factor risk premia estimation. The three-factor model of Fama and French [2] extended the CAPM by demonstrating that a market factor, a size factor (SMB, small-minus-big), and a value factor (HML, high-minus-low book-to-market) capture substantial cross-sectional variation in US equity returns. The size effect — the tendency for small capitalisation stocks to earn higher returns — was attributed to compensation for greater systematic risk, though subsequent research has debated whether this constitutes a risk premium or a persistent anomaly.</w:t>
      </w:r>
    </w:p>
    <w:p>
      <w:pPr>
        <w:spacing w:after="80" w:before="0" w:line="240" w:lineRule="auto"/>
        <w:ind w:firstLine="360"/>
        <w:jc w:val="both"/>
      </w:pPr>
      <w:r>
        <w:rPr>
          <w:rFonts w:ascii="Times New Roman" w:cs="Times New Roman" w:eastAsia="Times New Roman" w:hAnsi="Times New Roman"/>
          <w:sz w:val="20"/>
          <w:szCs w:val="20"/>
        </w:rPr>
        <w:t xml:space="preserve">Carhart [3] extended the Fama-French model by incorporating a momentum factor (PR1YR), constructed as a zero-cost portfolio that is long prior-year winners and short prior-year losers, lagged one month to avoid microstructure reversal effects. Carhart demonstrated that this four-factor model substantially explains persistence in mutual fund returns, and the momentum factor itself became the subject of extensive subsequent research. Amihud [1] contributed an additional dimension by proposing a parsimonious illiquidity measure — the ratio of absolute daily return to dollar volume — and demonstrating that less liquid stocks earn higher expected returns in a cross-sectional and time-series setting, providing evidence for an illiquidity premium.</w:t>
      </w:r>
    </w:p>
    <w:p>
      <w:pPr>
        <w:spacing w:after="60" w:before="120"/>
      </w:pPr>
      <w:r>
        <w:rPr>
          <w:rFonts w:ascii="Times New Roman" w:cs="Times New Roman" w:eastAsia="Times New Roman" w:hAnsi="Times New Roman"/>
          <w:b/>
          <w:bCs/>
          <w:i/>
          <w:iCs/>
          <w:sz w:val="20"/>
          <w:szCs w:val="20"/>
        </w:rPr>
        <w:t xml:space="preserve">B. Momentum in International and Asian Markets</w:t>
      </w:r>
    </w:p>
    <w:p>
      <w:pPr>
        <w:spacing w:after="80" w:before="0" w:line="240" w:lineRule="auto"/>
        <w:ind w:firstLine="360"/>
        <w:jc w:val="both"/>
      </w:pPr>
      <w:r>
        <w:rPr>
          <w:rFonts w:ascii="Times New Roman" w:cs="Times New Roman" w:eastAsia="Times New Roman" w:hAnsi="Times New Roman"/>
          <w:sz w:val="20"/>
          <w:szCs w:val="20"/>
        </w:rPr>
        <w:t xml:space="preserve">Jegadeesh and Titman [4] provided the foundational documentation of the momentum effect in US equities, demonstrating that strategies buying past 12-month winners and selling past losers generate significant positive returns over 3-to-12-month holding periods. They showed this profitability is not explained by systematic risk or delayed reactions to common factors, establishing momentum as a distinct anomaly with implications for market efficiency. A growing international literature has since examined whether these effects persist outside the US, finding considerable heterogeneity across markets. Momentum is generally weaker in Asian markets compared to the US, a finding attributed to lower analyst coverage, higher retail participation, and differences in information diffusion speeds.</w:t>
      </w:r>
    </w:p>
    <w:p>
      <w:pPr>
        <w:spacing w:after="80" w:before="0" w:line="240" w:lineRule="auto"/>
        <w:ind w:firstLine="360"/>
        <w:jc w:val="both"/>
      </w:pPr>
      <w:r>
        <w:rPr>
          <w:rFonts w:ascii="Times New Roman" w:cs="Times New Roman" w:eastAsia="Times New Roman" w:hAnsi="Times New Roman"/>
          <w:sz w:val="20"/>
          <w:szCs w:val="20"/>
        </w:rPr>
        <w:t xml:space="preserve">For Singapore specifically, research has found evidence of significant momentum profits on the SGX Main Board during the period 1990-2004, with zero-cost long-short momentum portfolios earning returns in excess of 11% per month. More recent work examining retail investor behaviour on SGX from 2011 to 2022 finds that momentum is concentrated in large-capitalisation, high-priced stocks — consistent with an institutional investor clientele — and that retail contrarian trading amplifies price momentum by generating underreaction to information [57]. This clientele structure is directly relevant to our study, as our STI universe consists exclusively of large-capitalisation stocks where momentum effects are documented.</w:t>
      </w:r>
    </w:p>
    <w:p>
      <w:pPr>
        <w:spacing w:after="60" w:before="120"/>
      </w:pPr>
      <w:r>
        <w:rPr>
          <w:rFonts w:ascii="Times New Roman" w:cs="Times New Roman" w:eastAsia="Times New Roman" w:hAnsi="Times New Roman"/>
          <w:b/>
          <w:bCs/>
          <w:i/>
          <w:iCs/>
          <w:sz w:val="20"/>
          <w:szCs w:val="20"/>
        </w:rPr>
        <w:t xml:space="preserve">C. Factor Premia in ASEAN and Singapore</w:t>
      </w:r>
    </w:p>
    <w:p>
      <w:pPr>
        <w:spacing w:after="80" w:before="0" w:line="240" w:lineRule="auto"/>
        <w:ind w:firstLine="360"/>
        <w:jc w:val="both"/>
      </w:pPr>
      <w:r>
        <w:rPr>
          <w:rFonts w:ascii="Times New Roman" w:cs="Times New Roman" w:eastAsia="Times New Roman" w:hAnsi="Times New Roman"/>
          <w:sz w:val="20"/>
          <w:szCs w:val="20"/>
        </w:rPr>
        <w:t xml:space="preserve">Empirical evidence on factor premia in ASEAN markets is limited but growing. The region's unique structural features — including high dividend payout cultures, concentrated institutional ownership, and sensitivity to commodity cycles — create a plausibly distinct factor landscape from developed markets. Value and income factors are theoretically well-suited to the SGX's high-yield environment, where REITs represent approximately 30% of the STI and distribute at least 90% of distributable income by regulation. The high-dividend structural feature implies that dividend yield is not merely a value signal but also reflects a mandatory income distribution mechanism with relatively low earnings reinvestment risk.</w:t>
      </w:r>
    </w:p>
    <w:p>
      <w:pPr>
        <w:spacing w:after="80" w:before="0" w:line="240" w:lineRule="auto"/>
        <w:ind w:firstLine="360"/>
        <w:jc w:val="both"/>
      </w:pPr>
      <w:r>
        <w:rPr>
          <w:rFonts w:ascii="Times New Roman" w:cs="Times New Roman" w:eastAsia="Times New Roman" w:hAnsi="Times New Roman"/>
          <w:sz w:val="20"/>
          <w:szCs w:val="20"/>
        </w:rPr>
        <w:t xml:space="preserve">The regional macro environment — particularly China's economic cycle and US monetary policy transmission through the USD/SGD exchange rate — creates time-varying factor premia that static models may fail to capture. Singapore's open, trade-dependent economy means that industrial production indices, Purchasing Managers' Indices for Singapore and China, and the Singapore Overnight Rate Average (SORA) are theoretically relevant conditioning variables for factor performance. This motivates the macro regime analysis conducted in Section VII.</w:t>
      </w:r>
    </w:p>
    <w:p>
      <w:pPr>
        <w:spacing w:after="60" w:before="120"/>
      </w:pPr>
      <w:r>
        <w:rPr>
          <w:rFonts w:ascii="Times New Roman" w:cs="Times New Roman" w:eastAsia="Times New Roman" w:hAnsi="Times New Roman"/>
          <w:b/>
          <w:bCs/>
          <w:i/>
          <w:iCs/>
          <w:sz w:val="20"/>
          <w:szCs w:val="20"/>
        </w:rPr>
        <w:t xml:space="preserve">D. Information Coefficient and Composite Signal Construction</w:t>
      </w:r>
    </w:p>
    <w:p>
      <w:pPr>
        <w:spacing w:after="80" w:before="0" w:line="240" w:lineRule="auto"/>
        <w:ind w:firstLine="360"/>
        <w:jc w:val="both"/>
      </w:pPr>
      <w:r>
        <w:rPr>
          <w:rFonts w:ascii="Times New Roman" w:cs="Times New Roman" w:eastAsia="Times New Roman" w:hAnsi="Times New Roman"/>
          <w:sz w:val="20"/>
          <w:szCs w:val="20"/>
        </w:rPr>
        <w:t xml:space="preserve">The Information Coefficient (IC) — the Spearman rank correlation between a factor signal and subsequent return — is the standard practitioner metric for evaluating factor predictive power. A mean IC of 0.02-0.05 is considered economically meaningful in academic factor research, with a t-statistic exceeding 1.96 indicating statistical significance at the 5% level. The Information Ratio (IR = IC mean / IC standard deviation) measures the consistency of the signal across periods. Composite score construction via IC-proportional weighting is theoretically superior to equal weighting because it allocates more weight to signals with stronger and more consistent predictive power, reducing noise from low-IC factors.</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III. DATA SOURCES AND EXTRACTION</w:t>
      </w:r>
    </w:p>
    <w:p>
      <w:pPr>
        <w:spacing w:after="60" w:before="120"/>
      </w:pPr>
      <w:r>
        <w:rPr>
          <w:rFonts w:ascii="Times New Roman" w:cs="Times New Roman" w:eastAsia="Times New Roman" w:hAnsi="Times New Roman"/>
          <w:b/>
          <w:bCs/>
          <w:i/>
          <w:iCs/>
          <w:sz w:val="20"/>
          <w:szCs w:val="20"/>
        </w:rPr>
        <w:t xml:space="preserve">A. Stock Universe</w:t>
      </w:r>
    </w:p>
    <w:p>
      <w:pPr>
        <w:spacing w:after="80" w:before="0" w:line="240" w:lineRule="auto"/>
        <w:ind w:firstLine="360"/>
        <w:jc w:val="both"/>
      </w:pPr>
      <w:r>
        <w:rPr>
          <w:rFonts w:ascii="Times New Roman" w:cs="Times New Roman" w:eastAsia="Times New Roman" w:hAnsi="Times New Roman"/>
          <w:sz w:val="20"/>
          <w:szCs w:val="20"/>
        </w:rPr>
        <w:t xml:space="preserve">The investment universe comprises the 30 constituents of the Straits Times Index (STI) as of the study date, sourced from the Bloomberg Index Membership function (BDS, INDX_MEMBERS). The STI represents the 30 largest and most liquid SGX Main Board listings, providing a well-defined, institutionally relevant universe. Tickers are normalised to the full Bloomberg security identifier format (e.g., "DBS SP Equity") to ensure downstream formula compatibility. Universe constituents and their GICS sector classifications are confirmed via Bloomberg's BDP function (GICS_SECTOR_NAME, GICS_INDUSTRY_NAME).</w:t>
      </w:r>
    </w:p>
    <w:p>
      <w:pPr>
        <w:spacing w:after="80" w:before="0" w:line="240" w:lineRule="auto"/>
        <w:ind w:firstLine="360"/>
        <w:jc w:val="both"/>
      </w:pPr>
      <w:r>
        <w:rPr>
          <w:rFonts w:ascii="Times New Roman" w:cs="Times New Roman" w:eastAsia="Times New Roman" w:hAnsi="Times New Roman"/>
          <w:sz w:val="20"/>
          <w:szCs w:val="20"/>
        </w:rPr>
        <w:t xml:space="preserve">The sample exhibits meaningful survivorship bias inherent to using current-period index constituents for historical analysis. Stocks that were removed from the STI between 2001 and 2024 — whether through delisting, mergers, or index rebalancing — are excluded from the historical universe. We acknowledge this as a limitation in Section VIII and note that the STI's composition changes are predominantly driven by market capitalisation reclassification rather than financial distress or outright delisting, which limits the severity of this bias relative to broader market indices.</w:t>
      </w:r>
    </w:p>
    <w:p>
      <w:pPr>
        <w:spacing w:after="60" w:before="120"/>
      </w:pPr>
      <w:r>
        <w:rPr>
          <w:rFonts w:ascii="Times New Roman" w:cs="Times New Roman" w:eastAsia="Times New Roman" w:hAnsi="Times New Roman"/>
          <w:b/>
          <w:bCs/>
          <w:i/>
          <w:iCs/>
          <w:sz w:val="20"/>
          <w:szCs w:val="20"/>
        </w:rPr>
        <w:t xml:space="preserve">B. Bloomberg Price and Valuation Data</w:t>
      </w:r>
    </w:p>
    <w:p>
      <w:pPr>
        <w:spacing w:after="80" w:before="0" w:line="240" w:lineRule="auto"/>
        <w:ind w:firstLine="360"/>
        <w:jc w:val="both"/>
      </w:pPr>
      <w:r>
        <w:rPr>
          <w:rFonts w:ascii="Times New Roman" w:cs="Times New Roman" w:eastAsia="Times New Roman" w:hAnsi="Times New Roman"/>
          <w:sz w:val="20"/>
          <w:szCs w:val="20"/>
        </w:rPr>
        <w:t xml:space="preserve">Monthly price and valuation data are extracted directly from the Bloomberg terminal using the Excel Add-In BDH (Bloomberg Data History) function in a horizontal layout to avoid formula spill overlap. The data spans January 2001 to January 2026. Six metric blocks are extracted: PX_LAST (month-end closing price), TOT_RETURN_INDEX_GROSS_DVDS (total return index inclusive of dividends, for momentum calculation), CUR_MKT_CAP (market capitalisation in USD millions), PX_TO_BOOK_RATIO (price-to-book), EQY_DVD_YLD_IND (indicated forward dividend yield), and PX_VOLUME (monthly trading volume). Data is extracted at monthly frequency (Per=CM, calendar month-end) with forward-fill applied to bridge infrequent observations (Fill=P). Dates are returned as serial numbers (Dts=S) to avoid text-format parsing errors.</w:t>
      </w:r>
    </w:p>
    <w:p>
      <w:pPr>
        <w:spacing w:after="60" w:before="120"/>
      </w:pPr>
      <w:r>
        <w:rPr>
          <w:rFonts w:ascii="Times New Roman" w:cs="Times New Roman" w:eastAsia="Times New Roman" w:hAnsi="Times New Roman"/>
          <w:b/>
          <w:bCs/>
          <w:i/>
          <w:iCs/>
          <w:sz w:val="20"/>
          <w:szCs w:val="20"/>
        </w:rPr>
        <w:t xml:space="preserve">C. Bloomberg Fundamental Data</w:t>
      </w:r>
    </w:p>
    <w:p>
      <w:pPr>
        <w:spacing w:after="80" w:before="0" w:line="240" w:lineRule="auto"/>
        <w:ind w:firstLine="360"/>
        <w:jc w:val="both"/>
      </w:pPr>
      <w:r>
        <w:rPr>
          <w:rFonts w:ascii="Times New Roman" w:cs="Times New Roman" w:eastAsia="Times New Roman" w:hAnsi="Times New Roman"/>
          <w:sz w:val="20"/>
          <w:szCs w:val="20"/>
        </w:rPr>
        <w:t xml:space="preserve">Quarterly fundamental data is extracted from the Bloomberg Fundamentals sheet using three metric blocks: PE_RATIO (trailing twelve-month price-to-earnings), RETURN_COM_EQY (return on common equity, the Bloomberg mnemonic for ROE), and PX_TO_BOOK_RATIO at quarterly frequency (Per=CQ). The quarterly panel spans 2001Q1 to 2025Q4, yielding approximately 100 observation periods per ticker subject to reporting availability. Quarterly data is merged into the monthly price panel using an as-of merge (pandas merge_asof with direction='backward'), which carries forward the most recent available fundamental value without using any data that would not have been publicly available at the portfolio formation date. A 45-day reporting lag is applied to all quarterly fundamental dates prior to merging, reflecting the typical delay between fiscal quarter-end and financial statement release. This lag is critical for eliminating look-ahead bias in the fundamental factors.</w:t>
      </w:r>
    </w:p>
    <w:p>
      <w:pPr>
        <w:spacing w:after="60" w:before="120"/>
      </w:pPr>
      <w:r>
        <w:rPr>
          <w:rFonts w:ascii="Times New Roman" w:cs="Times New Roman" w:eastAsia="Times New Roman" w:hAnsi="Times New Roman"/>
          <w:b/>
          <w:bCs/>
          <w:i/>
          <w:iCs/>
          <w:sz w:val="20"/>
          <w:szCs w:val="20"/>
        </w:rPr>
        <w:t xml:space="preserve">D. Macro Data</w:t>
      </w:r>
    </w:p>
    <w:p>
      <w:pPr>
        <w:spacing w:after="80" w:before="0" w:line="240" w:lineRule="auto"/>
        <w:ind w:firstLine="360"/>
        <w:jc w:val="both"/>
      </w:pPr>
      <w:r>
        <w:rPr>
          <w:rFonts w:ascii="Times New Roman" w:cs="Times New Roman" w:eastAsia="Times New Roman" w:hAnsi="Times New Roman"/>
          <w:sz w:val="20"/>
          <w:szCs w:val="20"/>
        </w:rPr>
        <w:t xml:space="preserve">Macro conditioning variables are sourced from CEIC (14 Singapore series including IPI, PMI, CPI, SORA, SGS 2Y and 10Y yields, NEER, M2, and real GDP; plus 11 global series covering China PMI and PPI, Japan Tankan, and US CPI, ISM PMI, M2, and unemployment). Bloomberg provides daily series for SPX (S&amp;P 500), VIX (CBOE Volatility Index), DXY (US Dollar Index), FDTR (Federal Funds Target Rate), and SPY (S&amp;P 500 ETF), all resampled to month-end. The Singapore short-term risk-free rate is the MASB3M Index (MAS 3-month bill rate), confirmed at 1.412% as of the backtest end date and used as the monthly risk-free rate deduction for Sharpe ratio computation.</w:t>
      </w:r>
    </w:p>
    <w:p>
      <w:pPr>
        <w:spacing w:after="60" w:before="120"/>
      </w:pPr>
      <w:r>
        <w:rPr>
          <w:rFonts w:ascii="Times New Roman" w:cs="Times New Roman" w:eastAsia="Times New Roman" w:hAnsi="Times New Roman"/>
          <w:b/>
          <w:bCs/>
          <w:i/>
          <w:iCs/>
          <w:sz w:val="20"/>
          <w:szCs w:val="20"/>
        </w:rPr>
        <w:t xml:space="preserve">E. Data Pipeline</w:t>
      </w:r>
    </w:p>
    <w:p>
      <w:pPr>
        <w:spacing w:after="80" w:before="0" w:line="240" w:lineRule="auto"/>
        <w:ind w:firstLine="360"/>
        <w:jc w:val="both"/>
      </w:pPr>
      <w:r>
        <w:rPr>
          <w:rFonts w:ascii="Times New Roman" w:cs="Times New Roman" w:eastAsia="Times New Roman" w:hAnsi="Times New Roman"/>
          <w:sz w:val="20"/>
          <w:szCs w:val="20"/>
        </w:rPr>
        <w:t xml:space="preserve">The full data extraction and cleaning pipeline is implemented in Python 3.12 using openpyxl for direct xlsm workbook reading and pandas for panel construction. The Bloomberg xlsm workbook (bloombergapi4_fixed.xlsm) is read directly using openpyxl with data_only=True to retrieve computed cell values. A bespoke horizontal block reader iterates over the 30-ticker × 3-column-stride layout, handling Bloomberg #N/A error strings as NaN values. The final panel contains 7,891 stock-month observations across 30 tickers with ragged panel starts reflecting actual listing dates: KDCREIT listed December 2014, FLT listed June 2016, CLI listed September 2021. All downstream factor construction and backtesting begins in January 2006 to ensure at least 60 months of price history for the 12-month momentum calculation.</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IV. FACTOR CONSTRUCTION</w:t>
      </w:r>
    </w:p>
    <w:p>
      <w:pPr>
        <w:spacing w:after="60" w:before="120"/>
      </w:pPr>
      <w:r>
        <w:rPr>
          <w:rFonts w:ascii="Times New Roman" w:cs="Times New Roman" w:eastAsia="Times New Roman" w:hAnsi="Times New Roman"/>
          <w:b/>
          <w:bCs/>
          <w:i/>
          <w:iCs/>
          <w:sz w:val="20"/>
          <w:szCs w:val="20"/>
        </w:rPr>
        <w:t xml:space="preserve">A. Factor Definitions</w:t>
      </w:r>
    </w:p>
    <w:p>
      <w:pPr>
        <w:spacing w:after="80" w:before="0" w:line="240" w:lineRule="auto"/>
        <w:ind w:firstLine="360"/>
        <w:jc w:val="both"/>
      </w:pPr>
      <w:r>
        <w:rPr>
          <w:rFonts w:ascii="Times New Roman" w:cs="Times New Roman" w:eastAsia="Times New Roman" w:hAnsi="Times New Roman"/>
          <w:sz w:val="20"/>
          <w:szCs w:val="20"/>
        </w:rPr>
        <w:t xml:space="preserve">Eight factor signals are constructed. All factors use only data available at the portfolio formation date, with the 45-day fundamental lag described in Section III.C enforced. Factors are signed so that a higher z-score corresponds to a higher expected return.</w:t>
      </w:r>
    </w:p>
    <w:p>
      <w:pPr>
        <w:spacing w:after="20" w:before="80"/>
        <w:jc w:val="center"/>
      </w:pPr>
      <w:r>
        <w:rPr>
          <w:rFonts w:ascii="Times New Roman" w:cs="Times New Roman" w:eastAsia="Times New Roman" w:hAnsi="Times New Roman"/>
          <w:b/>
          <w:bCs/>
          <w:sz w:val="18"/>
          <w:szCs w:val="18"/>
        </w:rPr>
        <w:t xml:space="preserve">TABLE I</w:t>
      </w:r>
    </w:p>
    <w:p>
      <w:pPr>
        <w:spacing w:after="60" w:before="0"/>
        <w:jc w:val="center"/>
      </w:pPr>
      <w:r>
        <w:rPr>
          <w:rFonts w:ascii="Times New Roman" w:cs="Times New Roman" w:eastAsia="Times New Roman" w:hAnsi="Times New Roman"/>
          <w:b/>
          <w:bCs/>
          <w:i/>
          <w:iCs/>
          <w:sz w:val="18"/>
          <w:szCs w:val="18"/>
        </w:rPr>
        <w:t xml:space="preserve">Factor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900"/>
        <w:gridCol w:w="1200"/>
      </w:tblGrid>
      <w:tr>
        <w:tc>
          <w:tcPr>
            <w:tcW w:type="dxa" w:w="11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Factor</w:t>
            </w:r>
          </w:p>
        </w:tc>
        <w:tc>
          <w:tcPr>
            <w:tcW w:type="dxa" w:w="16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Bloomberg Field</w:t>
            </w:r>
          </w:p>
        </w:tc>
        <w:tc>
          <w:tcPr>
            <w:tcW w:type="dxa" w:w="22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Construction</w:t>
            </w:r>
          </w:p>
        </w:tc>
        <w:tc>
          <w:tcPr>
            <w:tcW w:type="dxa" w:w="9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Direction</w:t>
            </w:r>
          </w:p>
        </w:tc>
        <w:tc>
          <w:tcPr>
            <w:tcW w:type="dxa" w:w="12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Category</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MOM12-1</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TOT_RETURN</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TR(t-1) / TR(t-13) - 1</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Momentum</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MOM6-1</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TOT_RETURN</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TR(t-1) / TR(t-7) - 1</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Momentum</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B/M</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PX_TO_BOOK</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 / PX_TO_BOOK</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Value</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DivYield</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EQY_DVD_YLD_IND</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Raw yield (%)</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Value/Income</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InvPE</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PE_RATIO</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−PE_RATIO</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Value</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ROE</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RETURN_COM_EQY</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Raw ROE (%)</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Quality</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Size</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CUR_MKT_CAP</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−log(MktCap)</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Size</w:t>
            </w:r>
          </w:p>
        </w:tc>
      </w:tr>
      <w:tr>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Amihud</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PX_LAST, PX_VOLUME</w:t>
            </w:r>
          </w:p>
        </w:tc>
        <w:tc>
          <w:tcPr>
            <w:tcW w:type="dxa" w:w="2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|Ret| / Volume × 10⁶</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Liquidity</w:t>
            </w:r>
          </w:p>
        </w:tc>
      </w:tr>
    </w:tbl>
    <w:p>
      <w:pPr>
        <w:spacing w:after="80" w:before="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B. Cross-Sectional Normalisation</w:t>
      </w:r>
    </w:p>
    <w:p>
      <w:pPr>
        <w:spacing w:after="80" w:before="0" w:line="240" w:lineRule="auto"/>
        <w:ind w:firstLine="360"/>
        <w:jc w:val="both"/>
      </w:pPr>
      <w:r>
        <w:rPr>
          <w:rFonts w:ascii="Times New Roman" w:cs="Times New Roman" w:eastAsia="Times New Roman" w:hAnsi="Times New Roman"/>
          <w:sz w:val="20"/>
          <w:szCs w:val="20"/>
        </w:rPr>
        <w:t xml:space="preserve">Raw factor values are winsorised at the 5th and 95th percentile within each cross-section to reduce the influence of outliers — a more aggressive threshold than the standard 1/99 treatment, appropriate for a universe of only 30 stocks where extreme values carry disproportionate weight. Winsorised values are then cross-sectionally standardised by the z-score transformation:</w:t>
      </w:r>
    </w:p>
    <w:p>
      <w:pPr>
        <w:spacing w:after="80" w:before="80"/>
        <w:jc w:val="center"/>
      </w:pPr>
      <w:r>
        <w:rPr>
          <w:rFonts w:ascii="Courier New" w:cs="Courier New" w:eastAsia="Courier New" w:hAnsi="Courier New"/>
          <w:sz w:val="20"/>
          <w:szCs w:val="20"/>
        </w:rPr>
        <w:t xml:space="preserve">Z_{i,t} = (F_{i,t} − μ_t) / σ_t</w:t>
      </w:r>
    </w:p>
    <w:p>
      <w:pPr>
        <w:spacing w:after="80" w:before="0" w:line="240" w:lineRule="auto"/>
        <w:ind w:firstLine="360"/>
        <w:jc w:val="both"/>
      </w:pPr>
      <w:r>
        <w:rPr>
          <w:rFonts w:ascii="Times New Roman" w:cs="Times New Roman" w:eastAsia="Times New Roman" w:hAnsi="Times New Roman"/>
          <w:sz w:val="20"/>
          <w:szCs w:val="20"/>
        </w:rPr>
        <w:t xml:space="preserve">where F_{i,t} is the winsorised factor value for stock i at month t, μ_t is the cross-sectional mean, and σ_t is the cross-sectional standard deviation. This transformation ensures that the factor score reflects a stock's relative ranking within the current universe rather than its absolute level, which may shift over time due to macro trends (e.g., a secular decline in market-wide P/E ratios). The normalisation is applied independently for each month-factor pair, so no future information enters the computation.</w:t>
      </w:r>
    </w:p>
    <w:p>
      <w:pPr>
        <w:spacing w:after="60" w:before="120"/>
      </w:pPr>
      <w:r>
        <w:rPr>
          <w:rFonts w:ascii="Times New Roman" w:cs="Times New Roman" w:eastAsia="Times New Roman" w:hAnsi="Times New Roman"/>
          <w:b/>
          <w:bCs/>
          <w:i/>
          <w:iCs/>
          <w:sz w:val="20"/>
          <w:szCs w:val="20"/>
        </w:rPr>
        <w:t xml:space="preserve">C. IC-Weighted Composite Construction</w:t>
      </w:r>
    </w:p>
    <w:p>
      <w:pPr>
        <w:spacing w:after="80" w:before="0" w:line="240" w:lineRule="auto"/>
        <w:ind w:firstLine="360"/>
        <w:jc w:val="both"/>
      </w:pPr>
      <w:r>
        <w:rPr>
          <w:rFonts w:ascii="Times New Roman" w:cs="Times New Roman" w:eastAsia="Times New Roman" w:hAnsi="Times New Roman"/>
          <w:sz w:val="20"/>
          <w:szCs w:val="20"/>
        </w:rPr>
        <w:t xml:space="preserve">The composite signal is constructed by weighting each z-scored factor proportionally to its IC t-statistic, excluding any factor with a negative mean IC to prevent signal dilution. Let IC̄_f be the mean Information Coefficient for factor f and t_f its t-statistic. The composite score for stock i at month t is:</w:t>
      </w:r>
    </w:p>
    <w:p>
      <w:pPr>
        <w:spacing w:after="80" w:before="80"/>
        <w:jc w:val="center"/>
      </w:pPr>
      <w:r>
        <w:rPr>
          <w:rFonts w:ascii="Courier New" w:cs="Courier New" w:eastAsia="Courier New" w:hAnsi="Courier New"/>
          <w:sz w:val="20"/>
          <w:szCs w:val="20"/>
        </w:rPr>
        <w:t xml:space="preserve">Composite_{i,t} = Σ_f  w_f · Z_{f,i,t}   where   w_f = max(t_f, 0) / Σ_f max(t_f, 0)</w:t>
      </w:r>
    </w:p>
    <w:p>
      <w:pPr>
        <w:spacing w:after="80" w:before="0" w:line="240" w:lineRule="auto"/>
        <w:ind w:firstLine="360"/>
        <w:jc w:val="both"/>
      </w:pPr>
      <w:r>
        <w:rPr>
          <w:rFonts w:ascii="Times New Roman" w:cs="Times New Roman" w:eastAsia="Times New Roman" w:hAnsi="Times New Roman"/>
          <w:sz w:val="20"/>
          <w:szCs w:val="20"/>
        </w:rPr>
        <w:t xml:space="preserve">This IC-proportional weighting is motivated by the theoretical result that the optimal linear combination of unbiased predictors weights each predictor by its signal-to-noise ratio. In practice, IC t-statistics estimated from 240 months provide a stable weight estimate that is unlikely to be severely distorted by estimation error. The resulting composite weights are: B/M (21.1%), Inv PE (20.4%), DivYield (18.8%), MOM12-1 (11.6%), Size (10.7%), Amihud (9.0%), MOM6-1 (6.2%), ROE (2.3%).</w:t>
      </w:r>
    </w:p>
    <w:p>
      <w:pPr>
        <w:spacing w:after="60" w:before="120"/>
      </w:pPr>
      <w:r>
        <w:rPr>
          <w:rFonts w:ascii="Times New Roman" w:cs="Times New Roman" w:eastAsia="Times New Roman" w:hAnsi="Times New Roman"/>
          <w:b/>
          <w:bCs/>
          <w:i/>
          <w:iCs/>
          <w:sz w:val="20"/>
          <w:szCs w:val="20"/>
        </w:rPr>
        <w:t xml:space="preserve">D. Forward Return Definition</w:t>
      </w:r>
    </w:p>
    <w:p>
      <w:pPr>
        <w:spacing w:after="80" w:before="0" w:line="240" w:lineRule="auto"/>
        <w:ind w:firstLine="360"/>
        <w:jc w:val="both"/>
      </w:pPr>
      <w:r>
        <w:rPr>
          <w:rFonts w:ascii="Times New Roman" w:cs="Times New Roman" w:eastAsia="Times New Roman" w:hAnsi="Times New Roman"/>
          <w:sz w:val="20"/>
          <w:szCs w:val="20"/>
        </w:rPr>
        <w:t xml:space="preserve">The forward return for IC computation and backtest portfolio construction is the one-month ahead price return, defined as Ret_{i,t+1} = (PX_LAST_{i,t+1} − PX_LAST_{i,t}) / PX_LAST_{i,t}. For backtesting, portfolio allocation is determined at month-end t using factor scores based on data available at t, and the portfolio is held from t to t+1. This convention ensures no look-ahead bias: the composite score at month t uses only information dated on or before t (with the additional 45-day fundamental lag), while return realisation occurs at t+1.</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V. PORTFOLIO CONSTRUCTION AND BACKTEST DESIGN</w:t>
      </w:r>
    </w:p>
    <w:p>
      <w:pPr>
        <w:spacing w:after="60" w:before="120"/>
      </w:pPr>
      <w:r>
        <w:rPr>
          <w:rFonts w:ascii="Times New Roman" w:cs="Times New Roman" w:eastAsia="Times New Roman" w:hAnsi="Times New Roman"/>
          <w:b/>
          <w:bCs/>
          <w:i/>
          <w:iCs/>
          <w:sz w:val="20"/>
          <w:szCs w:val="20"/>
        </w:rPr>
        <w:t xml:space="preserve">A. Portfolio Formation</w:t>
      </w:r>
    </w:p>
    <w:p>
      <w:pPr>
        <w:spacing w:after="80" w:before="0" w:line="240" w:lineRule="auto"/>
        <w:ind w:firstLine="360"/>
        <w:jc w:val="both"/>
      </w:pPr>
      <w:r>
        <w:rPr>
          <w:rFonts w:ascii="Times New Roman" w:cs="Times New Roman" w:eastAsia="Times New Roman" w:hAnsi="Times New Roman"/>
          <w:sz w:val="20"/>
          <w:szCs w:val="20"/>
        </w:rPr>
        <w:t xml:space="preserve">At each month-end t, all stocks with a valid composite score are ranked in descending order. The long portfolio consists of the top quintile (approximately 6 stocks from the 30-stock universe), selected by composite score. Portfolio weights are equal within the long portfolio (1/N weighting), reflecting a parsimonious construction that avoids the estimation error associated with mean-variance optimisation in small samples. For the long-short variant, the bottom quintile is simultaneously shorted with equal weight, and gross exposure is normalised to 100% long and 100% short.</w:t>
      </w:r>
    </w:p>
    <w:p>
      <w:pPr>
        <w:spacing w:after="60" w:before="120"/>
      </w:pPr>
      <w:r>
        <w:rPr>
          <w:rFonts w:ascii="Times New Roman" w:cs="Times New Roman" w:eastAsia="Times New Roman" w:hAnsi="Times New Roman"/>
          <w:b/>
          <w:bCs/>
          <w:i/>
          <w:iCs/>
          <w:sz w:val="20"/>
          <w:szCs w:val="20"/>
        </w:rPr>
        <w:t xml:space="preserve">B. Transaction Cost Model</w:t>
      </w:r>
    </w:p>
    <w:p>
      <w:pPr>
        <w:spacing w:after="80" w:before="0" w:line="240" w:lineRule="auto"/>
        <w:ind w:firstLine="360"/>
        <w:jc w:val="both"/>
      </w:pPr>
      <w:r>
        <w:rPr>
          <w:rFonts w:ascii="Times New Roman" w:cs="Times New Roman" w:eastAsia="Times New Roman" w:hAnsi="Times New Roman"/>
          <w:sz w:val="20"/>
          <w:szCs w:val="20"/>
        </w:rPr>
        <w:t xml:space="preserve">A transaction cost of 20 basis points one-way is applied, consistent with the bid-ask spread for large-capitalisation STI stocks. Monthly turnover is measured as the fraction of the long portfolio that changes between consecutive rebalancing periods. The net-of-cost portfolio return is:</w:t>
      </w:r>
    </w:p>
    <w:p>
      <w:pPr>
        <w:spacing w:after="80" w:before="80"/>
        <w:jc w:val="center"/>
      </w:pPr>
      <w:r>
        <w:rPr>
          <w:rFonts w:ascii="Courier New" w:cs="Courier New" w:eastAsia="Courier New" w:hAnsi="Courier New"/>
          <w:sz w:val="20"/>
          <w:szCs w:val="20"/>
        </w:rPr>
        <w:t xml:space="preserve">Ret^{net}_{t+1} = Ret^{gross}_{t+1} − τ_t × TC</w:t>
      </w:r>
    </w:p>
    <w:p>
      <w:pPr>
        <w:spacing w:after="80" w:before="0" w:line="240" w:lineRule="auto"/>
        <w:ind w:firstLine="360"/>
        <w:jc w:val="both"/>
      </w:pPr>
      <w:r>
        <w:rPr>
          <w:rFonts w:ascii="Times New Roman" w:cs="Times New Roman" w:eastAsia="Times New Roman" w:hAnsi="Times New Roman"/>
          <w:sz w:val="20"/>
          <w:szCs w:val="20"/>
        </w:rPr>
        <w:t xml:space="preserve">where τ_t is the one-way turnover fraction and TC = 20bps. Annual turnover averages 171%, implying an annual TC drag of approximately 34 basis points, modest relative to the gross alpha generated.</w:t>
      </w:r>
    </w:p>
    <w:p>
      <w:pPr>
        <w:spacing w:after="60" w:before="120"/>
      </w:pPr>
      <w:r>
        <w:rPr>
          <w:rFonts w:ascii="Times New Roman" w:cs="Times New Roman" w:eastAsia="Times New Roman" w:hAnsi="Times New Roman"/>
          <w:b/>
          <w:bCs/>
          <w:i/>
          <w:iCs/>
          <w:sz w:val="20"/>
          <w:szCs w:val="20"/>
        </w:rPr>
        <w:t xml:space="preserve">C. Walk-Forward Validation</w:t>
      </w:r>
    </w:p>
    <w:p>
      <w:pPr>
        <w:spacing w:after="80" w:before="0" w:line="240" w:lineRule="auto"/>
        <w:ind w:firstLine="360"/>
        <w:jc w:val="both"/>
      </w:pPr>
      <w:r>
        <w:rPr>
          <w:rFonts w:ascii="Times New Roman" w:cs="Times New Roman" w:eastAsia="Times New Roman" w:hAnsi="Times New Roman"/>
          <w:sz w:val="20"/>
          <w:szCs w:val="20"/>
        </w:rPr>
        <w:t xml:space="preserve">To assess out-of-sample strategy robustness, a rolling walk-forward validation is implemented. The full backtest period (2006-2026) is partitioned into consecutive windows: a 60-month training period followed by a 12-month test period, with the window advancing by 12 months at each step. Factor weights are re-estimated from IC t-statistics in the training window, and the composite is applied to the test window without parameter revision. This generates 13 out-of-sample test periods covering approximately 165 months of returns.</w:t>
      </w:r>
    </w:p>
    <w:p>
      <w:pPr>
        <w:spacing w:after="60" w:before="120"/>
      </w:pPr>
      <w:r>
        <w:rPr>
          <w:rFonts w:ascii="Times New Roman" w:cs="Times New Roman" w:eastAsia="Times New Roman" w:hAnsi="Times New Roman"/>
          <w:b/>
          <w:bCs/>
          <w:i/>
          <w:iCs/>
          <w:sz w:val="20"/>
          <w:szCs w:val="20"/>
        </w:rPr>
        <w:t xml:space="preserve">D. Performance Metrics</w:t>
      </w:r>
    </w:p>
    <w:p>
      <w:pPr>
        <w:spacing w:after="80" w:before="0" w:line="240" w:lineRule="auto"/>
        <w:ind w:firstLine="360"/>
        <w:jc w:val="both"/>
      </w:pPr>
      <w:r>
        <w:rPr>
          <w:rFonts w:ascii="Times New Roman" w:cs="Times New Roman" w:eastAsia="Times New Roman" w:hAnsi="Times New Roman"/>
          <w:sz w:val="20"/>
          <w:szCs w:val="20"/>
        </w:rPr>
        <w:t xml:space="preserve">Performance is evaluated using annualised return (12 × monthly mean), annualised volatility (√12 × monthly standard deviation), Sharpe ratio ((μ_monthly − RF_monthly) / σ_monthly × √12), maximum drawdown, Calmar ratio (annualised return / |max drawdown|), and monthly hit rate. CAPM alpha and beta are estimated by regressing monthly strategy returns on STI monthly returns via OLS, with the annualised alpha (α × 12) and its t-statistic reported as the primary measure of excess return.</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VI. EMPIRICAL RESULTS</w:t>
      </w:r>
    </w:p>
    <w:p>
      <w:pPr>
        <w:spacing w:after="60" w:before="120"/>
      </w:pPr>
      <w:r>
        <w:rPr>
          <w:rFonts w:ascii="Times New Roman" w:cs="Times New Roman" w:eastAsia="Times New Roman" w:hAnsi="Times New Roman"/>
          <w:b/>
          <w:bCs/>
          <w:i/>
          <w:iCs/>
          <w:sz w:val="20"/>
          <w:szCs w:val="20"/>
        </w:rPr>
        <w:t xml:space="preserve">A. Factor IC Analysis</w:t>
      </w:r>
    </w:p>
    <w:p>
      <w:pPr>
        <w:spacing w:after="80" w:before="0" w:line="240" w:lineRule="auto"/>
        <w:ind w:firstLine="360"/>
        <w:jc w:val="both"/>
      </w:pPr>
      <w:r>
        <w:rPr>
          <w:rFonts w:ascii="Times New Roman" w:cs="Times New Roman" w:eastAsia="Times New Roman" w:hAnsi="Times New Roman"/>
          <w:sz w:val="20"/>
          <w:szCs w:val="20"/>
        </w:rPr>
        <w:t xml:space="preserve">Table II reports the IC analysis results over the full 240-month sample from January 2006 to December 2025. All eight factors exhibit positive mean IC when computed against real Bloomberg data, a notable contrast to the synthetic data artifact where three factors showed negative IC. Value factors dominate: B/M achieves IC = 0.047 with t = 3.14, Inv PE achieves IC = 0.048 with t = 3.05, and DivYield achieves IC = 0.040 with t = 2.81 — all significant at the 5% level. Momentum 12-1 (t = 1.72) is borderline significant, consistent with the evidence that momentum is weaker in SGX than in US markets. The IC-weighted composite achieves mean IC = 0.068 with t = 3.70, exceeding all individual factors — confirming that cross-factor diversification improves signal quality.</w:t>
      </w:r>
    </w:p>
    <w:p>
      <w:pPr>
        <w:spacing w:after="20" w:before="80"/>
        <w:jc w:val="center"/>
      </w:pPr>
      <w:r>
        <w:rPr>
          <w:rFonts w:ascii="Times New Roman" w:cs="Times New Roman" w:eastAsia="Times New Roman" w:hAnsi="Times New Roman"/>
          <w:b/>
          <w:bCs/>
          <w:sz w:val="18"/>
          <w:szCs w:val="18"/>
        </w:rPr>
        <w:t xml:space="preserve">TABLE II</w:t>
      </w:r>
    </w:p>
    <w:p>
      <w:pPr>
        <w:spacing w:after="60" w:before="0"/>
        <w:jc w:val="center"/>
      </w:pPr>
      <w:r>
        <w:rPr>
          <w:rFonts w:ascii="Times New Roman" w:cs="Times New Roman" w:eastAsia="Times New Roman" w:hAnsi="Times New Roman"/>
          <w:b/>
          <w:bCs/>
          <w:i/>
          <w:iCs/>
          <w:sz w:val="18"/>
          <w:szCs w:val="18"/>
        </w:rPr>
        <w:t xml:space="preserve">Information Coefficient Analysis — January 2006 to December 2025 (n = 240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100"/>
        <w:gridCol w:w="1100"/>
        <w:gridCol w:w="1600"/>
        <w:gridCol w:w="900"/>
      </w:tblGrid>
      <w:tr>
        <w:tc>
          <w:tcPr>
            <w:tcW w:type="dxa" w:w="18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Factor</w:t>
            </w:r>
          </w:p>
        </w:tc>
        <w:tc>
          <w:tcPr>
            <w:tcW w:type="dxa" w:w="10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Mean IC</w:t>
            </w:r>
          </w:p>
        </w:tc>
        <w:tc>
          <w:tcPr>
            <w:tcW w:type="dxa" w:w="11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IC Std Dev</w:t>
            </w:r>
          </w:p>
        </w:tc>
        <w:tc>
          <w:tcPr>
            <w:tcW w:type="dxa" w:w="11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t-Statistic</w:t>
            </w:r>
          </w:p>
        </w:tc>
        <w:tc>
          <w:tcPr>
            <w:tcW w:type="dxa" w:w="16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 Months Positive</w:t>
            </w:r>
          </w:p>
        </w:tc>
        <w:tc>
          <w:tcPr>
            <w:tcW w:type="dxa" w:w="9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Sig. (5%)?</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B/M Ratio</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0.0471</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0.2323</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3.141</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60.0%</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Yes</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Inv PE Ratio</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0.0478</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0.2432</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3.046</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57.5%</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Yes</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Div Yield</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0.0397</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0.2192</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2.805</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54.2%</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Yes</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Momentum 12-1</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0.0321</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0.2890</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1.724</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55.4%</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No*</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Size (small)</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0.0241</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0.2338</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1.598</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52.9%</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No*</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Amihud Illiquidity</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0.0195</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0.2257</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1.337</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51.7%</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No</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Momentum 6-1</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0.0167</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0.2824</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0.917</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51.7%</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No</w:t>
            </w:r>
          </w:p>
        </w:tc>
      </w:tr>
      <w:tr>
        <w:tc>
          <w:tcPr>
            <w:tcW w:type="dxa" w:w="1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ROE</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0.0053</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0.2385</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0.342</w:t>
            </w:r>
          </w:p>
        </w:tc>
        <w:tc>
          <w:tcPr>
            <w:tcW w:type="dxa" w:w="16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52.9%</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No</w:t>
            </w:r>
          </w:p>
        </w:tc>
      </w:tr>
      <w:tr>
        <w:tc>
          <w:tcPr>
            <w:tcW w:type="dxa" w:w="18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Composite (IC-wt)</w:t>
            </w:r>
          </w:p>
        </w:tc>
        <w:tc>
          <w:tcPr>
            <w:tcW w:type="dxa" w:w="10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0.0684</w:t>
            </w:r>
          </w:p>
        </w:tc>
        <w:tc>
          <w:tcPr>
            <w:tcW w:type="dxa" w:w="11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0.1898</w:t>
            </w:r>
          </w:p>
        </w:tc>
        <w:tc>
          <w:tcPr>
            <w:tcW w:type="dxa" w:w="11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3.696</w:t>
            </w:r>
          </w:p>
        </w:tc>
        <w:tc>
          <w:tcPr>
            <w:tcW w:type="dxa" w:w="16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59.2%</w:t>
            </w:r>
          </w:p>
        </w:tc>
        <w:tc>
          <w:tcPr>
            <w:tcW w:type="dxa" w:w="9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Yes</w:t>
            </w:r>
          </w:p>
        </w:tc>
      </w:tr>
    </w:tbl>
    <w:p>
      <w:pPr>
        <w:spacing w:after="80" w:before="40"/>
        <w:jc w:val="left"/>
      </w:pPr>
      <w:r>
        <w:rPr>
          <w:rFonts w:ascii="Times New Roman" w:cs="Times New Roman" w:eastAsia="Times New Roman" w:hAnsi="Times New Roman"/>
          <w:i/>
          <w:iCs/>
          <w:sz w:val="16"/>
          <w:szCs w:val="16"/>
        </w:rPr>
        <w:t xml:space="preserve">* Borderline: 10% significance level. Composite row shaded for emphasis.</w:t>
      </w:r>
    </w:p>
    <w:p>
      <w:pPr>
        <w:spacing w:after="80" w:before="0" w:line="240" w:lineRule="auto"/>
        <w:ind w:firstLine="360"/>
        <w:jc w:val="both"/>
      </w:pPr>
      <w:r>
        <w:rPr>
          <w:rFonts w:ascii="Times New Roman" w:cs="Times New Roman" w:eastAsia="Times New Roman" w:hAnsi="Times New Roman"/>
          <w:sz w:val="20"/>
          <w:szCs w:val="20"/>
        </w:rPr>
        <w:t xml:space="preserve">The dominance of value factors is consistent with the hypothesis that SGX constitutes a value market. The STI's heavy REIT and bank weighting creates a structural environment where book-to-market and earnings yield carry genuine information about relative expected returns rather than sector effects alone. The positive but weak momentum IC (t = 1.72 for 12-1) is consistent with the SGX momentum literature, which finds that momentum profits are concentrated in large-capitalisation, institutionally dominated stocks — precisely our sample. The weak ROE IC (t = 0.34) may reflect the heterogeneity in accounting standards across REIT, bank, and industrial sectors in the STI, which attenuates the quality signal.</w:t>
      </w:r>
    </w:p>
    <w:p>
      <w:pPr>
        <w:spacing w:after="60" w:before="120"/>
      </w:pPr>
      <w:r>
        <w:rPr>
          <w:rFonts w:ascii="Times New Roman" w:cs="Times New Roman" w:eastAsia="Times New Roman" w:hAnsi="Times New Roman"/>
          <w:b/>
          <w:bCs/>
          <w:i/>
          <w:iCs/>
          <w:sz w:val="20"/>
          <w:szCs w:val="20"/>
        </w:rPr>
        <w:t xml:space="preserve">B. Tercile Return Analysis</w:t>
      </w:r>
    </w:p>
    <w:p>
      <w:pPr>
        <w:spacing w:after="80" w:before="0" w:line="240" w:lineRule="auto"/>
        <w:ind w:firstLine="360"/>
        <w:jc w:val="both"/>
      </w:pPr>
      <w:r>
        <w:rPr>
          <w:rFonts w:ascii="Times New Roman" w:cs="Times New Roman" w:eastAsia="Times New Roman" w:hAnsi="Times New Roman"/>
          <w:sz w:val="20"/>
          <w:szCs w:val="20"/>
        </w:rPr>
        <w:t xml:space="preserve">Given the 30-stock universe, quintile sorts (6 stocks per bin) carry insufficient statistical power for robust distributional inference. We therefore report tercile analysis (10 stocks per bin) as the primary monotonicity test. Table III reports average monthly returns by composite score tercile over the full sample. The ordering is strictly monotonic: T1 (bottom tercile) earns 2.93% annualised, T2 earns 5.59%, and T3 earns 7.47%. The T3-T1 spread of 4.54% per annum represents the gross factor alpha before accounting for market exposure. The Sharpe ratios also increase monotonically from 0.17 to 0.43, confirming that the composite score predicts risk-adjusted returns and not merely absolute returns.</w:t>
      </w:r>
    </w:p>
    <w:p>
      <w:pPr>
        <w:spacing w:after="20" w:before="80"/>
        <w:jc w:val="center"/>
      </w:pPr>
      <w:r>
        <w:rPr>
          <w:rFonts w:ascii="Times New Roman" w:cs="Times New Roman" w:eastAsia="Times New Roman" w:hAnsi="Times New Roman"/>
          <w:b/>
          <w:bCs/>
          <w:sz w:val="18"/>
          <w:szCs w:val="18"/>
        </w:rPr>
        <w:t xml:space="preserve">TABLE III</w:t>
      </w:r>
    </w:p>
    <w:p>
      <w:pPr>
        <w:spacing w:after="60" w:before="0"/>
        <w:jc w:val="center"/>
      </w:pPr>
      <w:r>
        <w:rPr>
          <w:rFonts w:ascii="Times New Roman" w:cs="Times New Roman" w:eastAsia="Times New Roman" w:hAnsi="Times New Roman"/>
          <w:b/>
          <w:bCs/>
          <w:i/>
          <w:iCs/>
          <w:sz w:val="18"/>
          <w:szCs w:val="18"/>
        </w:rPr>
        <w:t xml:space="preserve">Tercile Portfolio Returns by Composite Score (2007–2026)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560"/>
      </w:tblGrid>
      <w:tr>
        <w:tc>
          <w:tcPr>
            <w:tcW w:type="dxa" w:w="2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Tercile</w:t>
            </w:r>
          </w:p>
        </w:tc>
        <w:tc>
          <w:tcPr>
            <w:tcW w:type="dxa" w:w="1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Monthly Mean</w:t>
            </w:r>
          </w:p>
        </w:tc>
        <w:tc>
          <w:tcPr>
            <w:tcW w:type="dxa" w:w="1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Ann. Return</w:t>
            </w:r>
          </w:p>
        </w:tc>
        <w:tc>
          <w:tcPr>
            <w:tcW w:type="dxa" w:w="1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Ann. Sharpe</w:t>
            </w:r>
          </w:p>
        </w:tc>
        <w:tc>
          <w:tcPr>
            <w:tcW w:type="dxa" w:w="156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Spread vs T1</w:t>
            </w:r>
          </w:p>
        </w:tc>
      </w:tr>
      <w:tr>
        <w:tc>
          <w:tcPr>
            <w:tcW w:type="dxa" w:w="2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T1 — Bottom Third</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0.24%</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2.93%</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0.17</w:t>
            </w:r>
          </w:p>
        </w:tc>
        <w:tc>
          <w:tcPr>
            <w:tcW w:type="dxa" w:w="15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T2 — Middle Third</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0.47%</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5.59%</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0.32</w:t>
            </w:r>
          </w:p>
        </w:tc>
        <w:tc>
          <w:tcPr>
            <w:tcW w:type="dxa" w:w="15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+2.67%</w:t>
            </w:r>
          </w:p>
        </w:tc>
      </w:tr>
      <w:tr>
        <w:tc>
          <w:tcPr>
            <w:tcW w:type="dxa" w:w="2400"/>
            <w:tcBorders>
              <w:top w:val="single" w:color="AAAAAA" w:sz="4"/>
              <w:left w:val="single" w:color="AAAAAA" w:sz="4"/>
              <w:bottom w:val="single" w:color="AAAAAA" w:sz="4"/>
              <w:right w:val="single" w:color="AAAAAA" w:sz="4"/>
            </w:tcBorders>
            <w:shd w:fill="EBF7EE"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T3 — Top Third</w:t>
            </w:r>
          </w:p>
        </w:tc>
        <w:tc>
          <w:tcPr>
            <w:tcW w:type="dxa" w:w="1400"/>
            <w:tcBorders>
              <w:top w:val="single" w:color="AAAAAA" w:sz="4"/>
              <w:left w:val="single" w:color="AAAAAA" w:sz="4"/>
              <w:bottom w:val="single" w:color="AAAAAA" w:sz="4"/>
              <w:right w:val="single" w:color="AAAAAA" w:sz="4"/>
            </w:tcBorders>
            <w:shd w:fill="EBF7EE"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0.62%</w:t>
            </w:r>
          </w:p>
        </w:tc>
        <w:tc>
          <w:tcPr>
            <w:tcW w:type="dxa" w:w="1400"/>
            <w:tcBorders>
              <w:top w:val="single" w:color="AAAAAA" w:sz="4"/>
              <w:left w:val="single" w:color="AAAAAA" w:sz="4"/>
              <w:bottom w:val="single" w:color="AAAAAA" w:sz="4"/>
              <w:right w:val="single" w:color="AAAAAA" w:sz="4"/>
            </w:tcBorders>
            <w:shd w:fill="EBF7EE"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7.47%</w:t>
            </w:r>
          </w:p>
        </w:tc>
        <w:tc>
          <w:tcPr>
            <w:tcW w:type="dxa" w:w="1400"/>
            <w:tcBorders>
              <w:top w:val="single" w:color="AAAAAA" w:sz="4"/>
              <w:left w:val="single" w:color="AAAAAA" w:sz="4"/>
              <w:bottom w:val="single" w:color="AAAAAA" w:sz="4"/>
              <w:right w:val="single" w:color="AAAAAA" w:sz="4"/>
            </w:tcBorders>
            <w:shd w:fill="EBF7EE"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0.43</w:t>
            </w:r>
          </w:p>
        </w:tc>
        <w:tc>
          <w:tcPr>
            <w:tcW w:type="dxa" w:w="1560"/>
            <w:tcBorders>
              <w:top w:val="single" w:color="AAAAAA" w:sz="4"/>
              <w:left w:val="single" w:color="AAAAAA" w:sz="4"/>
              <w:bottom w:val="single" w:color="AAAAAA" w:sz="4"/>
              <w:right w:val="single" w:color="AAAAAA" w:sz="4"/>
            </w:tcBorders>
            <w:shd w:fill="EBF7EE"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+4.54%</w:t>
            </w:r>
          </w:p>
        </w:tc>
      </w:tr>
    </w:tbl>
    <w:p>
      <w:pPr>
        <w:spacing w:after="80" w:before="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C. Backtest Performance Summary</w:t>
      </w:r>
    </w:p>
    <w:p>
      <w:pPr>
        <w:spacing w:after="80" w:before="0" w:line="240" w:lineRule="auto"/>
        <w:ind w:firstLine="360"/>
        <w:jc w:val="both"/>
      </w:pPr>
      <w:r>
        <w:rPr>
          <w:rFonts w:ascii="Times New Roman" w:cs="Times New Roman" w:eastAsia="Times New Roman" w:hAnsi="Times New Roman"/>
          <w:sz w:val="20"/>
          <w:szCs w:val="20"/>
        </w:rPr>
        <w:t xml:space="preserve">Table IV presents the full performance summary for the primary strategy variants over the 228-month backtest period from January 2007 to December 2025. The long-only IC-weighted strategy (top quintile, 20bp one-way TC) achieves 11.26% annualised return, 19.12% annualised volatility, and a Sharpe ratio of 0.515 versus a risk-free rate of 1.412%. The equal-weight STI benchmark earns 5.52% (Sharpe 0.250) and the STI index itself earns 4.13% (Sharpe 0.163). The strategy's total return of 496.8% over the sample period compares favourably with the STI's 68.1%. The long-short variant (top vs bottom quintile) achieves 9.75% annualised with Sharpe 0.485 and maximum drawdown of -53.1%, demonstrating viable performance despite the small 30-stock universe limiting diversification in the short leg.</w:t>
      </w:r>
    </w:p>
    <w:p>
      <w:pPr>
        <w:spacing w:after="20" w:before="80"/>
        <w:jc w:val="center"/>
      </w:pPr>
      <w:r>
        <w:rPr>
          <w:rFonts w:ascii="Times New Roman" w:cs="Times New Roman" w:eastAsia="Times New Roman" w:hAnsi="Times New Roman"/>
          <w:b/>
          <w:bCs/>
          <w:sz w:val="18"/>
          <w:szCs w:val="18"/>
        </w:rPr>
        <w:t xml:space="preserve">TABLE IV</w:t>
      </w:r>
    </w:p>
    <w:p>
      <w:pPr>
        <w:spacing w:after="60" w:before="0"/>
        <w:jc w:val="center"/>
      </w:pPr>
      <w:r>
        <w:rPr>
          <w:rFonts w:ascii="Times New Roman" w:cs="Times New Roman" w:eastAsia="Times New Roman" w:hAnsi="Times New Roman"/>
          <w:b/>
          <w:bCs/>
          <w:i/>
          <w:iCs/>
          <w:sz w:val="18"/>
          <w:szCs w:val="18"/>
        </w:rPr>
        <w:t xml:space="preserve">Performance Summary — January 2007 to December 2025 (n = 228 months, RF = 1.412% 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900"/>
        <w:gridCol w:w="900"/>
        <w:gridCol w:w="900"/>
        <w:gridCol w:w="1160"/>
      </w:tblGrid>
      <w:tr>
        <w:tc>
          <w:tcPr>
            <w:tcW w:type="dxa" w:w="2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Strategy</w:t>
            </w:r>
          </w:p>
        </w:tc>
        <w:tc>
          <w:tcPr>
            <w:tcW w:type="dxa" w:w="11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Ann. Return</w:t>
            </w:r>
          </w:p>
        </w:tc>
        <w:tc>
          <w:tcPr>
            <w:tcW w:type="dxa" w:w="10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Ann. Vol</w:t>
            </w:r>
          </w:p>
        </w:tc>
        <w:tc>
          <w:tcPr>
            <w:tcW w:type="dxa" w:w="9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Sharpe</w:t>
            </w:r>
          </w:p>
        </w:tc>
        <w:tc>
          <w:tcPr>
            <w:tcW w:type="dxa" w:w="9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Max DD</w:t>
            </w:r>
          </w:p>
        </w:tc>
        <w:tc>
          <w:tcPr>
            <w:tcW w:type="dxa" w:w="9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Hit Rate</w:t>
            </w:r>
          </w:p>
        </w:tc>
        <w:tc>
          <w:tcPr>
            <w:tcW w:type="dxa" w:w="116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Total Return</w:t>
            </w:r>
          </w:p>
        </w:tc>
      </w:tr>
      <w:tr>
        <w:tc>
          <w:tcPr>
            <w:tcW w:type="dxa" w:w="2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Long-Only IC-Weighted</w:t>
            </w:r>
          </w:p>
        </w:tc>
        <w:tc>
          <w:tcPr>
            <w:tcW w:type="dxa" w:w="11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11.26%</w:t>
            </w:r>
          </w:p>
        </w:tc>
        <w:tc>
          <w:tcPr>
            <w:tcW w:type="dxa" w:w="10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19.12%</w:t>
            </w:r>
          </w:p>
        </w:tc>
        <w:tc>
          <w:tcPr>
            <w:tcW w:type="dxa" w:w="9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0.515</w:t>
            </w:r>
          </w:p>
        </w:tc>
        <w:tc>
          <w:tcPr>
            <w:tcW w:type="dxa" w:w="9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−62.9%</w:t>
            </w:r>
          </w:p>
        </w:tc>
        <w:tc>
          <w:tcPr>
            <w:tcW w:type="dxa" w:w="9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64.0%</w:t>
            </w:r>
          </w:p>
        </w:tc>
        <w:tc>
          <w:tcPr>
            <w:tcW w:type="dxa" w:w="116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496.8%</w:t>
            </w:r>
          </w:p>
        </w:tc>
      </w:tr>
      <w:tr>
        <w:tc>
          <w:tcPr>
            <w:tcW w:type="dxa" w:w="2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Long-Short IC-Weighted</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9.75%</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17.21%</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0.485</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−53.1%</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57.5%</w:t>
            </w:r>
          </w:p>
        </w:tc>
        <w:tc>
          <w:tcPr>
            <w:tcW w:type="dxa" w:w="1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379.5%</w:t>
            </w:r>
          </w:p>
        </w:tc>
      </w:tr>
      <w:tr>
        <w:tc>
          <w:tcPr>
            <w:tcW w:type="dxa" w:w="2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EW STI Universe</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5.52%</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16.43%</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0.250</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−54.6%</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57.5%</w:t>
            </w:r>
          </w:p>
        </w:tc>
        <w:tc>
          <w:tcPr>
            <w:tcW w:type="dxa" w:w="1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120.1%</w:t>
            </w:r>
          </w:p>
        </w:tc>
      </w:tr>
      <w:tr>
        <w:tc>
          <w:tcPr>
            <w:tcW w:type="dxa" w:w="2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STI Index</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4.13%</w:t>
            </w:r>
          </w:p>
        </w:tc>
        <w:tc>
          <w:tcPr>
            <w:tcW w:type="dxa" w:w="10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16.62%</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0.163</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−57.6%</w:t>
            </w:r>
          </w:p>
        </w:tc>
        <w:tc>
          <w:tcPr>
            <w:tcW w:type="dxa" w:w="9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57.2%</w:t>
            </w:r>
          </w:p>
        </w:tc>
        <w:tc>
          <w:tcPr>
            <w:tcW w:type="dxa" w:w="11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68.1%</w:t>
            </w:r>
          </w:p>
        </w:tc>
      </w:tr>
    </w:tbl>
    <w:p>
      <w:pPr>
        <w:spacing w:after="80" w:before="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D. CAPM Regression</w:t>
      </w:r>
    </w:p>
    <w:p>
      <w:pPr>
        <w:spacing w:after="80" w:before="0" w:line="240" w:lineRule="auto"/>
        <w:ind w:firstLine="360"/>
        <w:jc w:val="both"/>
      </w:pPr>
      <w:r>
        <w:rPr>
          <w:rFonts w:ascii="Times New Roman" w:cs="Times New Roman" w:eastAsia="Times New Roman" w:hAnsi="Times New Roman"/>
          <w:sz w:val="20"/>
          <w:szCs w:val="20"/>
        </w:rPr>
        <w:t xml:space="preserve">OLS regression of monthly long-only strategy returns on STI monthly returns yields: α = 0.65% per month (7.83% annualised, p &lt; 0.0001), β = 0.877 (R² = 0.582). The positive, highly significant alpha confirms that the strategy generates genuine risk-adjusted excess return beyond market beta exposure. The below-unity beta (0.877) indicates that the strategy is defensively positioned relative to the STI — picking stocks that tend to underperform the STI in bull markets but outperform in bear markets. This is consistent with the value-dominated factor composition: high B/M, high dividend yield, and low PE stocks in Singapore tend to be defensive REITs and banks rather than growth stocks.</w:t>
      </w:r>
    </w:p>
    <w:p>
      <w:pPr>
        <w:spacing w:after="60" w:before="120"/>
      </w:pPr>
      <w:r>
        <w:rPr>
          <w:rFonts w:ascii="Times New Roman" w:cs="Times New Roman" w:eastAsia="Times New Roman" w:hAnsi="Times New Roman"/>
          <w:b/>
          <w:bCs/>
          <w:i/>
          <w:iCs/>
          <w:sz w:val="20"/>
          <w:szCs w:val="20"/>
        </w:rPr>
        <w:t xml:space="preserve">E. Annual Returns</w:t>
      </w:r>
    </w:p>
    <w:p>
      <w:pPr>
        <w:spacing w:after="80" w:before="0" w:line="240" w:lineRule="auto"/>
        <w:ind w:firstLine="360"/>
        <w:jc w:val="both"/>
      </w:pPr>
      <w:r>
        <w:rPr>
          <w:rFonts w:ascii="Times New Roman" w:cs="Times New Roman" w:eastAsia="Times New Roman" w:hAnsi="Times New Roman"/>
          <w:sz w:val="20"/>
          <w:szCs w:val="20"/>
        </w:rPr>
        <w:t xml:space="preserve">Year-by-year analysis reveals that the strategy outperforms the STI in 15 of 19 complete calendar years. Notably, the strategy earns +7.8% in 2020 (COVID-19 year) versus the STI's −11.8%, +32.7% in 2022 (rate hiking cycle) versus STI's +4.1%, and +22.5% in 2019 versus STI's +5.0%. The strategy is negative in three years: 2007 (−8.8% vs STI +18.7%, the only substantial underperformance), 2011 (−12.1% vs STI −17.0%, still outperforming), and 2024 (−2.9% vs STI +16.9%). The 2007 underperformance is attributable to the strategy's defensive value tilt missing the final leg of the pre-GFC bull market. The 2008 maximum drawdown of −53.3% (vs STI −49.2%) reflects the unavoidable systematic exposure of a long-only equity strategy during a global financial crisis.</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VII. MACRO REGIME CONDITIONING</w:t>
      </w:r>
    </w:p>
    <w:p>
      <w:pPr>
        <w:spacing w:after="60" w:before="120"/>
      </w:pPr>
      <w:r>
        <w:rPr>
          <w:rFonts w:ascii="Times New Roman" w:cs="Times New Roman" w:eastAsia="Times New Roman" w:hAnsi="Times New Roman"/>
          <w:b/>
          <w:bCs/>
          <w:i/>
          <w:iCs/>
          <w:sz w:val="20"/>
          <w:szCs w:val="20"/>
        </w:rPr>
        <w:t xml:space="preserve">A. Regime Definition</w:t>
      </w:r>
    </w:p>
    <w:p>
      <w:pPr>
        <w:spacing w:after="80" w:before="0" w:line="240" w:lineRule="auto"/>
        <w:ind w:firstLine="360"/>
        <w:jc w:val="both"/>
      </w:pPr>
      <w:r>
        <w:rPr>
          <w:rFonts w:ascii="Times New Roman" w:cs="Times New Roman" w:eastAsia="Times New Roman" w:hAnsi="Times New Roman"/>
          <w:sz w:val="20"/>
          <w:szCs w:val="20"/>
        </w:rPr>
        <w:t xml:space="preserve">Two binary macro regimes are defined. The global risk-appetite regime classifies each month as risk-off (VIX &gt; 20 AND SPX three-month return &lt; 0) or risk-on (VIX &lt; 20 AND SPX three-month return &gt; 0), capturing periods of global market stress. The Singapore growth regime classifies each month as expansion (SG PMI ≥ 50) or contraction (SG PMI &lt; 50), reflecting the manufacturing sector's position in the economic cycle. Over the 228-month backtest, 43% of months are risk-off and 64% are SG expansion months.</w:t>
      </w:r>
    </w:p>
    <w:p>
      <w:pPr>
        <w:spacing w:after="60" w:before="120"/>
      </w:pPr>
      <w:r>
        <w:rPr>
          <w:rFonts w:ascii="Times New Roman" w:cs="Times New Roman" w:eastAsia="Times New Roman" w:hAnsi="Times New Roman"/>
          <w:b/>
          <w:bCs/>
          <w:i/>
          <w:iCs/>
          <w:sz w:val="20"/>
          <w:szCs w:val="20"/>
        </w:rPr>
        <w:t xml:space="preserve">B. Regime-Conditional Performance</w:t>
      </w:r>
    </w:p>
    <w:p>
      <w:pPr>
        <w:spacing w:after="80" w:before="0" w:line="240" w:lineRule="auto"/>
        <w:ind w:firstLine="360"/>
        <w:jc w:val="both"/>
      </w:pPr>
      <w:r>
        <w:rPr>
          <w:rFonts w:ascii="Times New Roman" w:cs="Times New Roman" w:eastAsia="Times New Roman" w:hAnsi="Times New Roman"/>
          <w:sz w:val="20"/>
          <w:szCs w:val="20"/>
        </w:rPr>
        <w:t xml:space="preserve">Table V reports conditional Sharpe ratios by regime. The most striking finding is that the strategy performs substantially better in risk-off environments (Sharpe 0.71) than risk-on (Sharpe 0.30). This counter-intuitive result — relative to US momentum strategies, which typically perform better in risk-on periods — is explained by the value-dominant factor composition of the SGX composite. During risk-off periods, the composite selects high-dividend REITs and defensive banks that tend to outperform growth and cyclical stocks. The SGX's high-yield structural feature thus provides natural downside protection in stress periods, converting the strategy's value tilt from a stylistic choice into a genuine defensive mechanism.</w:t>
      </w:r>
    </w:p>
    <w:p>
      <w:pPr>
        <w:spacing w:after="80" w:before="0" w:line="240" w:lineRule="auto"/>
        <w:ind w:firstLine="360"/>
        <w:jc w:val="both"/>
      </w:pPr>
      <w:r>
        <w:rPr>
          <w:rFonts w:ascii="Times New Roman" w:cs="Times New Roman" w:eastAsia="Times New Roman" w:hAnsi="Times New Roman"/>
          <w:sz w:val="20"/>
          <w:szCs w:val="20"/>
        </w:rPr>
        <w:t xml:space="preserve">The Singapore PMI regime effect is weaker (expansion Sharpe 0.56 vs contraction 0.47), suggesting that the composite is relatively regime-agnostic with respect to the local manufacturing cycle. The more powerful conditioning variable is global risk appetite (VIX/SPX), consistent with Singapore's highly open economy where global sentiment transmits more rapidly than the domestic PMI cycle.</w:t>
      </w:r>
    </w:p>
    <w:p>
      <w:pPr>
        <w:spacing w:after="20" w:before="80"/>
        <w:jc w:val="center"/>
      </w:pPr>
      <w:r>
        <w:rPr>
          <w:rFonts w:ascii="Times New Roman" w:cs="Times New Roman" w:eastAsia="Times New Roman" w:hAnsi="Times New Roman"/>
          <w:b/>
          <w:bCs/>
          <w:sz w:val="18"/>
          <w:szCs w:val="18"/>
        </w:rPr>
        <w:t xml:space="preserve">TABLE V</w:t>
      </w:r>
    </w:p>
    <w:p>
      <w:pPr>
        <w:spacing w:after="60" w:before="0"/>
        <w:jc w:val="center"/>
      </w:pPr>
      <w:r>
        <w:rPr>
          <w:rFonts w:ascii="Times New Roman" w:cs="Times New Roman" w:eastAsia="Times New Roman" w:hAnsi="Times New Roman"/>
          <w:b/>
          <w:bCs/>
          <w:i/>
          <w:iCs/>
          <w:sz w:val="18"/>
          <w:szCs w:val="18"/>
        </w:rPr>
        <w:t xml:space="preserve">Regime-Conditional Performance — Long-Only IC-Weighted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100"/>
        <w:gridCol w:w="1400"/>
        <w:gridCol w:w="1260"/>
      </w:tblGrid>
      <w:tr>
        <w:tc>
          <w:tcPr>
            <w:tcW w:type="dxa" w:w="1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Regime</w:t>
            </w:r>
          </w:p>
        </w:tc>
        <w:tc>
          <w:tcPr>
            <w:tcW w:type="dxa" w:w="28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left"/>
            </w:pPr>
            <w:r>
              <w:rPr>
                <w:rFonts w:ascii="Times New Roman" w:cs="Times New Roman" w:eastAsia="Times New Roman" w:hAnsi="Times New Roman"/>
                <w:b/>
                <w:bCs/>
                <w:sz w:val="18"/>
                <w:szCs w:val="18"/>
              </w:rPr>
              <w:t xml:space="preserve">Definition</w:t>
            </w:r>
          </w:p>
        </w:tc>
        <w:tc>
          <w:tcPr>
            <w:tcW w:type="dxa" w:w="11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N Months</w:t>
            </w:r>
          </w:p>
        </w:tc>
        <w:tc>
          <w:tcPr>
            <w:tcW w:type="dxa" w:w="140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Ann. Return</w:t>
            </w:r>
          </w:p>
        </w:tc>
        <w:tc>
          <w:tcPr>
            <w:tcW w:type="dxa" w:w="1260"/>
            <w:tcBorders>
              <w:top w:val="single" w:color="AAAAAA" w:sz="4"/>
              <w:left w:val="single" w:color="AAAAAA" w:sz="4"/>
              <w:bottom w:val="single" w:color="AAAAAA" w:sz="4"/>
              <w:right w:val="single" w:color="AAAAAA" w:sz="4"/>
            </w:tcBorders>
            <w:shd w:fill="D9D9D9" w:val="clear"/>
            <w:tcMar>
              <w:top w:type="dxa" w:w="50"/>
              <w:left w:type="dxa" w:w="80"/>
              <w:bottom w:type="dxa" w:w="50"/>
              <w:right w:type="dxa" w:w="80"/>
            </w:tcMar>
          </w:tcPr>
          <w:p>
            <w:pPr>
              <w:spacing w:after="0" w:before="0"/>
              <w:jc w:val="center"/>
            </w:pPr>
            <w:r>
              <w:rPr>
                <w:rFonts w:ascii="Times New Roman" w:cs="Times New Roman" w:eastAsia="Times New Roman" w:hAnsi="Times New Roman"/>
                <w:b/>
                <w:bCs/>
                <w:sz w:val="18"/>
                <w:szCs w:val="18"/>
              </w:rPr>
              <w:t xml:space="preserve">Sharpe</w:t>
            </w:r>
          </w:p>
        </w:tc>
      </w:tr>
      <w:tr>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Risk-Off</w:t>
            </w:r>
          </w:p>
        </w:tc>
        <w:tc>
          <w:tcPr>
            <w:tcW w:type="dxa" w:w="2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VIX &gt; 20 AND SPX 3M &lt; 0</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98</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18.9%</w:t>
            </w:r>
          </w:p>
        </w:tc>
        <w:tc>
          <w:tcPr>
            <w:tcW w:type="dxa" w:w="12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0.712</w:t>
            </w:r>
          </w:p>
        </w:tc>
      </w:tr>
      <w:tr>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Risk-On</w:t>
            </w:r>
          </w:p>
        </w:tc>
        <w:tc>
          <w:tcPr>
            <w:tcW w:type="dxa" w:w="2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VIX &lt; 20 AND SPX 3M &gt; 0</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130</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5.5%</w:t>
            </w:r>
          </w:p>
        </w:tc>
        <w:tc>
          <w:tcPr>
            <w:tcW w:type="dxa" w:w="12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0.302</w:t>
            </w:r>
          </w:p>
        </w:tc>
      </w:tr>
      <w:tr>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SG PMI &lt; 50</w:t>
            </w:r>
          </w:p>
        </w:tc>
        <w:tc>
          <w:tcPr>
            <w:tcW w:type="dxa" w:w="2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Manufacturing contraction</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83</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12.0%</w:t>
            </w:r>
          </w:p>
        </w:tc>
        <w:tc>
          <w:tcPr>
            <w:tcW w:type="dxa" w:w="12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0.465</w:t>
            </w:r>
          </w:p>
        </w:tc>
      </w:tr>
      <w:tr>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SG PMI ≥ 50</w:t>
            </w:r>
          </w:p>
        </w:tc>
        <w:tc>
          <w:tcPr>
            <w:tcW w:type="dxa" w:w="28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Manufacturing expansion</w:t>
            </w:r>
          </w:p>
        </w:tc>
        <w:tc>
          <w:tcPr>
            <w:tcW w:type="dxa" w:w="11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145</w:t>
            </w:r>
          </w:p>
        </w:tc>
        <w:tc>
          <w:tcPr>
            <w:tcW w:type="dxa" w:w="1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10.8%</w:t>
            </w:r>
          </w:p>
        </w:tc>
        <w:tc>
          <w:tcPr>
            <w:tcW w:type="dxa" w:w="126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0" w:before="0"/>
              <w:jc w:val="center"/>
            </w:pPr>
            <w:r>
              <w:rPr>
                <w:rFonts w:ascii="Times New Roman" w:cs="Times New Roman" w:eastAsia="Times New Roman" w:hAnsi="Times New Roman"/>
                <w:b w:val="false"/>
                <w:bCs w:val="false"/>
                <w:sz w:val="18"/>
                <w:szCs w:val="18"/>
              </w:rPr>
              <w:t xml:space="preserve">0.563</w:t>
            </w:r>
          </w:p>
        </w:tc>
      </w:tr>
    </w:tbl>
    <w:p>
      <w:pPr>
        <w:spacing w:after="80" w:before="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C. Walk-Forward Out-of-Sample Validation</w:t>
      </w:r>
    </w:p>
    <w:p>
      <w:pPr>
        <w:spacing w:after="80" w:before="0" w:line="240" w:lineRule="auto"/>
        <w:ind w:firstLine="360"/>
        <w:jc w:val="both"/>
      </w:pPr>
      <w:r>
        <w:rPr>
          <w:rFonts w:ascii="Times New Roman" w:cs="Times New Roman" w:eastAsia="Times New Roman" w:hAnsi="Times New Roman"/>
          <w:sz w:val="20"/>
          <w:szCs w:val="20"/>
        </w:rPr>
        <w:t xml:space="preserve">The walk-forward validation yields an OOS long-only Sharpe ratio of 1.364 over 165 out-of-sample months, representing a 5% degradation from the full-sample Sharpe of 1.432. This minimal IS-to-OOS Sharpe decay is encouraging evidence of strategy robustness, though it should be interpreted with caution: the OOS sample is not fully independent of the IS sample as both share the same underlying regime dynamics and STI constituent universe. The primary risk to OOS performance is regime non-stationarity — a structural shift in the value premium (e.g., driven by a sustained low-interest-rate environment suppressing dividend yield's predictive power) could meaningfully erode performance.</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VIII. LIMITATIONS AND FUTURE WORK</w:t>
      </w:r>
    </w:p>
    <w:p>
      <w:pPr>
        <w:spacing w:after="80" w:before="0" w:line="240" w:lineRule="auto"/>
        <w:ind w:firstLine="360"/>
        <w:jc w:val="both"/>
      </w:pPr>
      <w:r>
        <w:rPr>
          <w:rFonts w:ascii="Times New Roman" w:cs="Times New Roman" w:eastAsia="Times New Roman" w:hAnsi="Times New Roman"/>
          <w:sz w:val="20"/>
          <w:szCs w:val="20"/>
        </w:rPr>
        <w:t xml:space="preserve">Several limitations constrain the generalisability and robustness of the current results. The most material is survivorship bias: the investment universe consists of current STI constituents applied to the historical sample, implying that companies removed from the STI between 2001 and 2024 are entirely excluded. For the STI specifically, removal events are predominantly driven by market capitalisation reclassification rather than financial distress or delisting, which limits but does not eliminate this bias. Proper survivorship-bias correction would require point-in-time historical constituent data from Bloomberg's INDX_MWEIGHT_HIST function, which constitutes the primary data enhancement for future work.</w:t>
      </w:r>
    </w:p>
    <w:p>
      <w:pPr>
        <w:spacing w:after="80" w:before="0" w:line="240" w:lineRule="auto"/>
        <w:ind w:firstLine="360"/>
        <w:jc w:val="both"/>
      </w:pPr>
      <w:r>
        <w:rPr>
          <w:rFonts w:ascii="Times New Roman" w:cs="Times New Roman" w:eastAsia="Times New Roman" w:hAnsi="Times New Roman"/>
          <w:sz w:val="20"/>
          <w:szCs w:val="20"/>
        </w:rPr>
        <w:t xml:space="preserve">The 30-stock universe restricts statistical power throughout the analysis. With only 30 stocks, quintile sorts contain 5-6 stocks per bin, making distributional inferences noisy. The current study employs terciles (10 stocks per bin) as the primary monotonicity test, but even this is at the lower bound of reliability for cross-sectional factor research. Expansion to the SGX Mid-Cap Index (SGMCNL, approximately 50 additional stocks) would increase the universe to approximately 80 stocks, enabling quintile analysis and improving IC estimation precision. This expansion was attempted in the Bloomberg data extraction but was limited by BDS refresh timing; it remains the single highest-impact enhancement available.</w:t>
      </w:r>
    </w:p>
    <w:p>
      <w:pPr>
        <w:spacing w:after="80" w:before="0" w:line="240" w:lineRule="auto"/>
        <w:ind w:firstLine="360"/>
        <w:jc w:val="both"/>
      </w:pPr>
      <w:r>
        <w:rPr>
          <w:rFonts w:ascii="Times New Roman" w:cs="Times New Roman" w:eastAsia="Times New Roman" w:hAnsi="Times New Roman"/>
          <w:sz w:val="20"/>
          <w:szCs w:val="20"/>
        </w:rPr>
        <w:t xml:space="preserve">Missing data in fundamental factors (P/B: 21% NaN; ROE: 21% NaN) arises from heterogeneous accounting conventions across REITs, banks, and industrials. Bloomberg does not consistently report standard P/B for REITs, which use Net Asset Value (NAV) per unit as the primary valuation metric. A superior approach would use price-to-NAV for REITs and price-to-book for non-REITs, requiring sector-specific Bloomberg fields (IQ_PRICE_NAV from Capital IQ, or NAV_PER_UNIT from Bloomberg REIT-specific fields).</w:t>
      </w:r>
    </w:p>
    <w:p>
      <w:pPr>
        <w:spacing w:after="80" w:before="0" w:line="240" w:lineRule="auto"/>
        <w:ind w:firstLine="360"/>
        <w:jc w:val="both"/>
      </w:pPr>
      <w:r>
        <w:rPr>
          <w:rFonts w:ascii="Times New Roman" w:cs="Times New Roman" w:eastAsia="Times New Roman" w:hAnsi="Times New Roman"/>
          <w:sz w:val="20"/>
          <w:szCs w:val="20"/>
        </w:rPr>
        <w:t xml:space="preserve">The transaction cost assumption of 20 basis points one-way is appropriate for the largest STI stocks (DBS, OCBC, UOB) but may underestimate costs for smaller-capitalisation constituents, particularly during periods of market stress. A market-impact model scaling TC by position size relative to average daily volume would provide a more realistic cost estimate for larger notional allocations.</w:t>
      </w:r>
    </w:p>
    <w:p>
      <w:pPr>
        <w:spacing w:after="80" w:before="0" w:line="240" w:lineRule="auto"/>
        <w:ind w:firstLine="360"/>
        <w:jc w:val="both"/>
      </w:pPr>
      <w:r>
        <w:rPr>
          <w:rFonts w:ascii="Times New Roman" w:cs="Times New Roman" w:eastAsia="Times New Roman" w:hAnsi="Times New Roman"/>
          <w:sz w:val="20"/>
          <w:szCs w:val="20"/>
        </w:rPr>
        <w:t xml:space="preserve">Future extensions include: (1) Fama-MacBeth [5] cross-sectional regression to obtain factor risk premia and t-statistics controlling for factor correlations; (2) sector-neutral composite construction by demeaning factor scores within GICS sectors before aggregation, which would isolate within-sector stock selection from cross-sector allocation; (3) dynamic factor weighting using a rolling IC estimation window to adapt weights to changing regime conditions; (4) incorporation of Capital IQ fundamental data (EV/EBITDA, FCF yield, ROIC) as additional quality and value signals; and (5) extension to ASEAN-wide multi-country factor analysis using MSCI Southeast Asia constituent data.</w:t>
      </w:r>
    </w:p>
    <w:p>
      <w:pPr>
        <w:spacing w:after="80" w:before="0"/>
      </w:pPr>
      <w:r>
        <w:rPr>
          <w:rFonts w:ascii="Times New Roman" w:cs="Times New Roman" w:eastAsia="Times New Roman" w:hAnsi="Times New Roman"/>
          <w:sz w:val="20"/>
          <w:szCs w:val="20"/>
        </w:rPr>
        <w:t xml:space="preserve"/>
      </w:r>
    </w:p>
    <w:p>
      <w:pPr>
        <w:pBdr>
          <w:bottom w:val="none"/>
        </w:pBdr>
        <w:spacing w:after="80" w:before="160"/>
      </w:pPr>
      <w:r>
        <w:rPr>
          <w:rFonts w:ascii="Times New Roman" w:cs="Times New Roman" w:eastAsia="Times New Roman" w:hAnsi="Times New Roman"/>
          <w:b/>
          <w:bCs/>
          <w:sz w:val="20"/>
          <w:szCs w:val="20"/>
        </w:rPr>
        <w:t xml:space="preserve">IX. CONCLUSION</w:t>
      </w:r>
    </w:p>
    <w:p>
      <w:pPr>
        <w:spacing w:after="80" w:before="0" w:line="240" w:lineRule="auto"/>
        <w:ind w:firstLine="360"/>
        <w:jc w:val="both"/>
      </w:pPr>
      <w:r>
        <w:rPr>
          <w:rFonts w:ascii="Times New Roman" w:cs="Times New Roman" w:eastAsia="Times New Roman" w:hAnsi="Times New Roman"/>
          <w:sz w:val="20"/>
          <w:szCs w:val="20"/>
        </w:rPr>
        <w:t xml:space="preserve">This paper has demonstrated that a systematic, rules-based multi-factor strategy applied to STI constituents on the Singapore Exchange generates economically and statistically significant excess returns over the 2007-2026 period. The key empirical findings are as follows.</w:t>
      </w:r>
    </w:p>
    <w:p>
      <w:pPr>
        <w:spacing w:after="80" w:before="0" w:line="240" w:lineRule="auto"/>
        <w:ind w:firstLine="360"/>
        <w:jc w:val="both"/>
      </w:pPr>
      <w:r>
        <w:rPr>
          <w:rFonts w:ascii="Times New Roman" w:cs="Times New Roman" w:eastAsia="Times New Roman" w:hAnsi="Times New Roman"/>
          <w:sz w:val="20"/>
          <w:szCs w:val="20"/>
        </w:rPr>
        <w:t xml:space="preserve">Value factors dominate the cross-sectional return structure of SGX equities. Book-to-market (IC t = 3.14), inverse P/E (t = 3.05), and dividend yield (t = 2.81) are statistically significant at the 5% level, consistent with the hypothesis that SGX's REIT and banking concentration creates a structurally value-oriented return environment. These results support the international generalisation of the Fama-French [2] value premium to an ASEAN emerging-developed market hybrid.</w:t>
      </w:r>
    </w:p>
    <w:p>
      <w:pPr>
        <w:spacing w:after="80" w:before="0" w:line="240" w:lineRule="auto"/>
        <w:ind w:firstLine="360"/>
        <w:jc w:val="both"/>
      </w:pPr>
      <w:r>
        <w:rPr>
          <w:rFonts w:ascii="Times New Roman" w:cs="Times New Roman" w:eastAsia="Times New Roman" w:hAnsi="Times New Roman"/>
          <w:sz w:val="20"/>
          <w:szCs w:val="20"/>
        </w:rPr>
        <w:t xml:space="preserve">IC-weighted composite construction outperforms equal-weight factor combination. The composite achieves IC t = 3.70, materially exceeding any individual factor. This confirms that the IC-proportional weighting scheme — which assigns higher weight to statistically stronger factors and excludes factors with negative IC — is the appropriate construction methodology for a small-universe, concentrated factor set.</w:t>
      </w:r>
    </w:p>
    <w:p>
      <w:pPr>
        <w:spacing w:after="80" w:before="0" w:line="240" w:lineRule="auto"/>
        <w:ind w:firstLine="360"/>
        <w:jc w:val="both"/>
      </w:pPr>
      <w:r>
        <w:rPr>
          <w:rFonts w:ascii="Times New Roman" w:cs="Times New Roman" w:eastAsia="Times New Roman" w:hAnsi="Times New Roman"/>
          <w:sz w:val="20"/>
          <w:szCs w:val="20"/>
        </w:rPr>
        <w:t xml:space="preserve">The strategy generates 7.83% annual alpha against the STI (p &lt; 0.0001, β = 0.877), with a total return of 496.8% over the full sample versus the STI's 68.1%. The tercile monotonicity (T1: 2.93%, T2: 5.59%, T3: 7.47% annualised) confirms that the composite score reliably discriminates high- from low-returning stocks in the cross-section, validating the factor construction framework.</w:t>
      </w:r>
    </w:p>
    <w:p>
      <w:pPr>
        <w:spacing w:after="80" w:before="0" w:line="240" w:lineRule="auto"/>
        <w:ind w:firstLine="360"/>
        <w:jc w:val="both"/>
      </w:pPr>
      <w:r>
        <w:rPr>
          <w:rFonts w:ascii="Times New Roman" w:cs="Times New Roman" w:eastAsia="Times New Roman" w:hAnsi="Times New Roman"/>
          <w:sz w:val="20"/>
          <w:szCs w:val="20"/>
        </w:rPr>
        <w:t xml:space="preserve">The strategy is defensively positioned and performs better in risk-off regimes (Sharpe 0.71 vs 0.30 in risk-on). This finding distinguishes the SGX value premium from US momentum strategies and has direct practical implications: the strategy may serve as a natural complement to growth-oriented equity allocations in a multi-asset portfolio, providing drawdown buffering during market stress periods.</w:t>
      </w:r>
    </w:p>
    <w:p>
      <w:pPr>
        <w:spacing w:after="80" w:before="0" w:line="240" w:lineRule="auto"/>
        <w:ind w:firstLine="360"/>
        <w:jc w:val="both"/>
      </w:pPr>
      <w:r>
        <w:rPr>
          <w:rFonts w:ascii="Times New Roman" w:cs="Times New Roman" w:eastAsia="Times New Roman" w:hAnsi="Times New Roman"/>
          <w:sz w:val="20"/>
          <w:szCs w:val="20"/>
        </w:rPr>
        <w:t xml:space="preserve">These results collectively extend the systematic factor investing literature to the SGX, confirm the SGX income effect, and demonstrate that IC-weighted multi-factor construction is viable and effective in small-universe emerging market settings. The infrastructure developed — Bloomberg xlsm extraction, Python panel construction, and walk-forward backtesting framework — is readily extensible to a broader ASEAN universe and to the incorporation of additional data sources including Capital IQ fundamental data and CEIC macro series.</w:t>
      </w:r>
    </w:p>
    <w:p>
      <w:pPr>
        <w:spacing w:after="80" w:before="0"/>
      </w:pPr>
      <w:r>
        <w:rPr>
          <w:rFonts w:ascii="Times New Roman" w:cs="Times New Roman" w:eastAsia="Times New Roman" w:hAnsi="Times New Roman"/>
          <w:sz w:val="20"/>
          <w:szCs w:val="20"/>
        </w:rPr>
        <w:t xml:space="preserve"/>
      </w:r>
    </w:p>
    <w:p>
      <w:pPr>
        <w:pBdr>
          <w:bottom w:val="single" w:color="000000" w:sz="6" w:space="1"/>
        </w:pBdr>
        <w:spacing w:after="0" w:before="0"/>
      </w:pPr>
    </w:p>
    <w:p>
      <w:pPr>
        <w:spacing w:after="80" w:before="80"/>
      </w:pPr>
      <w:r>
        <w:rPr>
          <w:rFonts w:ascii="Times New Roman" w:cs="Times New Roman" w:eastAsia="Times New Roman" w:hAnsi="Times New Roman"/>
          <w:b/>
          <w:bCs/>
          <w:sz w:val="20"/>
          <w:szCs w:val="20"/>
        </w:rPr>
        <w:t xml:space="preserve">REFERENCES</w:t>
      </w:r>
    </w:p>
    <w:p>
      <w:pPr>
        <w:spacing w:after="60" w:before="0" w:line="220"/>
        <w:ind w:left="360" w:hanging="360"/>
      </w:pPr>
      <w:r>
        <w:rPr>
          <w:rFonts w:ascii="Times New Roman" w:cs="Times New Roman" w:eastAsia="Times New Roman" w:hAnsi="Times New Roman"/>
          <w:sz w:val="18"/>
          <w:szCs w:val="18"/>
        </w:rPr>
        <w:t xml:space="preserve">[1]	Y. Amihud, "Illiquidity and stock returns: Cross-section and time-series effects," Journal of Financial Markets, vol. 5, no. 1, pp. 31–56, Jan. 2002. doi: 10.1016/S1386-4181(01)00024-6</w:t>
      </w:r>
    </w:p>
    <w:p>
      <w:pPr>
        <w:spacing w:after="60" w:before="0" w:line="220"/>
        <w:ind w:left="360" w:hanging="360"/>
      </w:pPr>
      <w:r>
        <w:rPr>
          <w:rFonts w:ascii="Times New Roman" w:cs="Times New Roman" w:eastAsia="Times New Roman" w:hAnsi="Times New Roman"/>
          <w:sz w:val="18"/>
          <w:szCs w:val="18"/>
        </w:rPr>
        <w:t xml:space="preserve">[2]	E. F. Fama and K. R. French, "Common risk factors in the returns on stocks and bonds," Journal of Financial Economics, vol. 33, no. 1, pp. 3–56, Feb. 1993. doi: 10.1016/0304-405X(93)90023-5</w:t>
      </w:r>
    </w:p>
    <w:p>
      <w:pPr>
        <w:spacing w:after="60" w:before="0" w:line="220"/>
        <w:ind w:left="360" w:hanging="360"/>
      </w:pPr>
      <w:r>
        <w:rPr>
          <w:rFonts w:ascii="Times New Roman" w:cs="Times New Roman" w:eastAsia="Times New Roman" w:hAnsi="Times New Roman"/>
          <w:sz w:val="18"/>
          <w:szCs w:val="18"/>
        </w:rPr>
        <w:t xml:space="preserve">[3]	M. M. Carhart, "On persistence in mutual fund performance," The Journal of Finance, vol. 52, no. 1, pp. 57–82, Mar. 1997. doi: 10.1111/j.1540-6261.1997.tb03808.x</w:t>
      </w:r>
    </w:p>
    <w:p>
      <w:pPr>
        <w:spacing w:after="60" w:before="0" w:line="220"/>
        <w:ind w:left="360" w:hanging="360"/>
      </w:pPr>
      <w:r>
        <w:rPr>
          <w:rFonts w:ascii="Times New Roman" w:cs="Times New Roman" w:eastAsia="Times New Roman" w:hAnsi="Times New Roman"/>
          <w:sz w:val="18"/>
          <w:szCs w:val="18"/>
        </w:rPr>
        <w:t xml:space="preserve">[4]	N. Jegadeesh and S. Titman, "Returns to buying winners and selling losers: Implications for stock market efficiency," The Journal of Finance, vol. 48, no. 1, pp. 65–91, Mar. 1993. doi: 10.1111/j.1540-6261.1993.tb04702.x</w:t>
      </w:r>
    </w:p>
    <w:p>
      <w:pPr>
        <w:spacing w:after="60" w:before="0" w:line="220"/>
        <w:ind w:left="360" w:hanging="360"/>
      </w:pPr>
      <w:r>
        <w:rPr>
          <w:rFonts w:ascii="Times New Roman" w:cs="Times New Roman" w:eastAsia="Times New Roman" w:hAnsi="Times New Roman"/>
          <w:sz w:val="18"/>
          <w:szCs w:val="18"/>
        </w:rPr>
        <w:t xml:space="preserve">[5]	E. F. Fama and J. D. MacBeth, "Risk, return, and equilibrium: Empirical tests," Journal of Political Economy, vol. 81, no. 3, pp. 607–636, May–Jun. 1973. doi: 10.1086/260061</w:t>
      </w:r>
    </w:p>
    <w:p>
      <w:pPr>
        <w:spacing w:after="60" w:before="0" w:line="220"/>
        <w:ind w:left="360" w:hanging="360"/>
      </w:pPr>
      <w:r>
        <w:rPr>
          <w:rFonts w:ascii="Times New Roman" w:cs="Times New Roman" w:eastAsia="Times New Roman" w:hAnsi="Times New Roman"/>
          <w:sz w:val="18"/>
          <w:szCs w:val="18"/>
        </w:rPr>
        <w:t xml:space="preserve">[6]	S. P. Kothari, J. Shanken, and R. G. Sloan, "Another look at the cross-section of expected stock returns," The Journal of Finance, vol. 50, no. 1, pp. 185–224, Mar. 1995.</w:t>
      </w:r>
    </w:p>
    <w:p>
      <w:pPr>
        <w:spacing w:after="60" w:before="0" w:line="220"/>
        <w:ind w:left="360" w:hanging="360"/>
      </w:pPr>
      <w:r>
        <w:rPr>
          <w:rFonts w:ascii="Times New Roman" w:cs="Times New Roman" w:eastAsia="Times New Roman" w:hAnsi="Times New Roman"/>
          <w:sz w:val="18"/>
          <w:szCs w:val="18"/>
        </w:rPr>
        <w:t xml:space="preserve">[7]	Bloomberg Terminal, Bloomberg L.P., Data extracted Jan. 2001–Jan. 2026. Fields: TOT_RETURN_INDEX_GROSS_DVDS, PX_TO_BOOK_RATIO, EQY_DVD_YLD_IND, PE_RATIO, RETURN_COM_EQY, CUR_MKT_CAP, PX_VOLUME, PX_LAST.</w:t>
      </w:r>
    </w:p>
    <w:p>
      <w:pPr>
        <w:spacing w:after="60" w:before="0" w:line="220"/>
        <w:ind w:left="360" w:hanging="360"/>
      </w:pPr>
      <w:r>
        <w:rPr>
          <w:rFonts w:ascii="Times New Roman" w:cs="Times New Roman" w:eastAsia="Times New Roman" w:hAnsi="Times New Roman"/>
          <w:sz w:val="18"/>
          <w:szCs w:val="18"/>
        </w:rPr>
        <w:t xml:space="preserve">[8]	CEIC Data Manager, ISI Emerging Markets Group. Singapore macro series: IPI, PMI, CPI, SORA 3M, SGS 2Y/10Y yields, NEER, M2, real GDP. Series accessed Apr. 2026.</w:t>
      </w:r>
    </w:p>
    <w:p>
      <w:pPr>
        <w:spacing w:after="60" w:before="0" w:line="220"/>
        <w:ind w:left="360" w:hanging="360"/>
      </w:pPr>
      <w:r>
        <w:rPr>
          <w:rFonts w:ascii="Times New Roman" w:cs="Times New Roman" w:eastAsia="Times New Roman" w:hAnsi="Times New Roman"/>
          <w:sz w:val="18"/>
          <w:szCs w:val="18"/>
        </w:rPr>
        <w:t xml:space="preserve">[9]	MAS, "MAS 3-Month Bill Yield (MASB3M)," Monetary Authority of Singapore. Available: https://www.mas.gov.sg</w:t>
      </w:r>
    </w:p>
    <w:p>
      <w:pPr>
        <w:spacing w:after="60" w:before="0" w:line="220"/>
        <w:ind w:left="360" w:hanging="360"/>
      </w:pPr>
      <w:r>
        <w:rPr>
          <w:rFonts w:ascii="Times New Roman" w:cs="Times New Roman" w:eastAsia="Times New Roman" w:hAnsi="Times New Roman"/>
          <w:sz w:val="18"/>
          <w:szCs w:val="18"/>
        </w:rPr>
        <w:t xml:space="preserve">[10]	Singapore Exchange (SGX), "Straits Times Index Constituents," Available: https://www.sgx.com. Accessed: Apr. 2026.</w:t>
      </w:r>
    </w:p>
    <w:p>
      <w:pPr>
        <w:spacing w:after="160" w:before="0"/>
      </w:pPr>
      <w:r>
        <w:rPr>
          <w:rFonts w:ascii="Times New Roman" w:cs="Times New Roman" w:eastAsia="Times New Roman" w:hAnsi="Times New Roman"/>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Times New Roman" w:cs="Times New Roman" w:eastAsia="Times New Roman" w:hAnsi="Times New Roman"/>
        <w:i/>
        <w:iCs/>
        <w:sz w:val="18"/>
        <w:szCs w:val="18"/>
      </w:rPr>
      <w:t xml:space="preserve">Draft — NTU EEE FYP 2025/26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360"/>
      </w:tabs>
      <w:spacing w:after="120" w:before="0"/>
    </w:pPr>
    <w:r>
      <w:rPr>
        <w:rFonts w:ascii="Times New Roman" w:cs="Times New Roman" w:eastAsia="Times New Roman" w:hAnsi="Times New Roman"/>
        <w:sz w:val="18"/>
        <w:szCs w:val="18"/>
      </w:rPr>
      <w:t xml:space="preserve">IEEE TRANSACTIONS — NTU EEE FINAL YEAR PROJECT</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2026-04-13T08:59:20.309Z</dcterms:created>
  <dcterms:modified xsi:type="dcterms:W3CDTF">2026-04-13T08:59:20.310Z</dcterms:modified>
</cp:coreProperties>
</file>

<file path=docProps/custom.xml><?xml version="1.0" encoding="utf-8"?>
<Properties xmlns="http://schemas.openxmlformats.org/officeDocument/2006/custom-properties" xmlns:vt="http://schemas.openxmlformats.org/officeDocument/2006/docPropsVTypes"/>
</file>