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Kenya Daily Brief — Project Log</w:t>
      </w:r>
    </w:p>
    <w:p>
      <w:pPr>
        <w:jc w:val="left"/>
      </w:pPr>
      <w:r>
        <w:rPr>
          <w:color w:val="6B7280"/>
          <w:sz w:val="19"/>
        </w:rPr>
        <w:t>Adding entity-scoped sentiment analysis to the Kenya Daily Brief news aggregator</w:t>
        <w:br/>
        <w:t>Working copy: D:\kenya-daily-brief    ·    Log generated: 14 September 2026</w:t>
      </w:r>
    </w:p>
    <w:p>
      <w:pPr>
        <w:pStyle w:val="Heading1"/>
      </w:pPr>
      <w:r>
        <w:t>1. What was asked</w:t>
      </w:r>
    </w:p>
    <w:p>
      <w:r>
        <w:t>Three changes to the existing Kenya Daily Brief webapp running on Google Cloud:</w:t>
      </w:r>
    </w:p>
    <w:p>
      <w:pPr>
        <w:pStyle w:val="ListNumber"/>
      </w:pPr>
      <w:r>
        <w:t>Define what “sentiment” means for this application and write the definition down, rather than adopting an off-the-shelf classifier and calling its output the label.</w:t>
      </w:r>
    </w:p>
    <w:p>
      <w:pPr>
        <w:pStyle w:val="ListNumber"/>
      </w:pPr>
      <w:r>
        <w:t>Label articles with an LLM, hand-check 50 of them personally, and report the agreement rate between the two in the README.</w:t>
      </w:r>
    </w:p>
    <w:p>
      <w:pPr>
        <w:pStyle w:val="ListNumber"/>
      </w:pPr>
      <w:r>
        <w:t>State plainly in the README why off-the-shelf sentiment models are a poor fit for Kenyan political reporting, code-switching, and Sheng.</w:t>
      </w:r>
    </w:p>
    <w:p>
      <w:r>
        <w:t>A complication at the outset: no record of the original build existed. The previous WSL installation had been deleted, so there was no conversation history, no memory entry, and no local source. The application had to be located from scratch.</w:t>
      </w:r>
    </w:p>
    <w:p>
      <w:pPr>
        <w:pStyle w:val="Heading1"/>
      </w:pPr>
      <w:r>
        <w:t>2. Locating the application</w:t>
      </w:r>
    </w:p>
    <w:p>
      <w:r>
        <w:t>Rather than reconstruct the project from description, the machine was searched for hard evidence. Every check came back negative, which is what established that the app had never been built on this installation:</w:t>
      </w:r>
    </w:p>
    <w:tbl>
      <w:tblPr>
        <w:tblStyle w:val="TableGrid"/>
        <w:tblW w:type="auto" w:w="0"/>
        <w:tblLook w:firstColumn="1" w:firstRow="1" w:lastColumn="0" w:lastRow="0" w:noHBand="0" w:noVBand="1" w:val="04A0"/>
      </w:tblPr>
      <w:tblGrid>
        <w:gridCol w:w="4320"/>
        <w:gridCol w:w="4320"/>
      </w:tblGrid>
      <w:tr>
        <w:tc>
          <w:tcPr>
            <w:tcW w:type="dxa" w:w="4896"/>
          </w:tcPr>
          <w:p>
            <w:r>
              <w:rPr>
                <w:b/>
                <w:sz w:val="18"/>
              </w:rPr>
              <w:t>Check</w:t>
            </w:r>
          </w:p>
        </w:tc>
        <w:tc>
          <w:tcPr>
            <w:tcW w:type="dxa" w:w="4032"/>
          </w:tcPr>
          <w:p>
            <w:r>
              <w:rPr>
                <w:b/>
                <w:sz w:val="18"/>
              </w:rPr>
              <w:t>Result</w:t>
            </w:r>
          </w:p>
        </w:tc>
      </w:tr>
      <w:tr>
        <w:tc>
          <w:tcPr>
            <w:tcW w:type="dxa" w:w="4896"/>
          </w:tcPr>
          <w:p>
            <w:r>
              <w:rPr>
                <w:sz w:val="18"/>
              </w:rPr>
              <w:t>Memory directory and MEMORY.md index</w:t>
            </w:r>
          </w:p>
        </w:tc>
        <w:tc>
          <w:tcPr>
            <w:tcW w:type="dxa" w:w="4032"/>
          </w:tcPr>
          <w:p>
            <w:r>
              <w:rPr>
                <w:sz w:val="18"/>
              </w:rPr>
              <w:t>4 entries, none related</w:t>
            </w:r>
          </w:p>
        </w:tc>
      </w:tr>
      <w:tr>
        <w:tc>
          <w:tcPr>
            <w:tcW w:type="dxa" w:w="4896"/>
          </w:tcPr>
          <w:p>
            <w:r>
              <w:rPr>
                <w:sz w:val="18"/>
              </w:rPr>
              <w:t>All 7 Claude Code transcripts, grep “kenya”</w:t>
            </w:r>
          </w:p>
        </w:tc>
        <w:tc>
          <w:tcPr>
            <w:tcW w:type="dxa" w:w="4032"/>
          </w:tcPr>
          <w:p>
            <w:r>
              <w:rPr>
                <w:sz w:val="18"/>
              </w:rPr>
              <w:t>Only hit: a Windows folder listing</w:t>
            </w:r>
          </w:p>
        </w:tc>
      </w:tr>
      <w:tr>
        <w:tc>
          <w:tcPr>
            <w:tcW w:type="dxa" w:w="4896"/>
          </w:tcPr>
          <w:p>
            <w:r>
              <w:rPr>
                <w:sz w:val="18"/>
              </w:rPr>
              <w:t>gcloud / gsutil / firebase binaries</w:t>
            </w:r>
          </w:p>
        </w:tc>
        <w:tc>
          <w:tcPr>
            <w:tcW w:type="dxa" w:w="4032"/>
          </w:tcPr>
          <w:p>
            <w:r>
              <w:rPr>
                <w:sz w:val="18"/>
              </w:rPr>
              <w:t>Not installed</w:t>
            </w:r>
          </w:p>
        </w:tc>
      </w:tr>
      <w:tr>
        <w:tc>
          <w:tcPr>
            <w:tcW w:type="dxa" w:w="4896"/>
          </w:tcPr>
          <w:p>
            <w:r>
              <w:rPr>
                <w:sz w:val="18"/>
              </w:rPr>
              <w:t>~/.config/gcloud</w:t>
            </w:r>
          </w:p>
        </w:tc>
        <w:tc>
          <w:tcPr>
            <w:tcW w:type="dxa" w:w="4032"/>
          </w:tcPr>
          <w:p>
            <w:r>
              <w:rPr>
                <w:sz w:val="18"/>
              </w:rPr>
              <w:t>Does not exist</w:t>
            </w:r>
          </w:p>
        </w:tc>
      </w:tr>
      <w:tr>
        <w:tc>
          <w:tcPr>
            <w:tcW w:type="dxa" w:w="4896"/>
          </w:tcPr>
          <w:p>
            <w:r>
              <w:rPr>
                <w:sz w:val="18"/>
              </w:rPr>
              <w:t>Shell history, grep deploy commands</w:t>
            </w:r>
          </w:p>
        </w:tc>
        <w:tc>
          <w:tcPr>
            <w:tcW w:type="dxa" w:w="4032"/>
          </w:tcPr>
          <w:p>
            <w:r>
              <w:rPr>
                <w:sz w:val="18"/>
              </w:rPr>
              <w:t>No matches</w:t>
            </w:r>
          </w:p>
        </w:tc>
      </w:tr>
      <w:tr>
        <w:tc>
          <w:tcPr>
            <w:tcW w:type="dxa" w:w="4896"/>
          </w:tcPr>
          <w:p>
            <w:r>
              <w:rPr>
                <w:sz w:val="18"/>
              </w:rPr>
              <w:t>package.json / app.yaml / requirements.txt / Dockerfile</w:t>
            </w:r>
          </w:p>
        </w:tc>
        <w:tc>
          <w:tcPr>
            <w:tcW w:type="dxa" w:w="4032"/>
          </w:tcPr>
          <w:p>
            <w:r>
              <w:rPr>
                <w:sz w:val="18"/>
              </w:rPr>
              <w:t>None anywhere under /home/mnm</w:t>
            </w:r>
          </w:p>
        </w:tc>
      </w:tr>
    </w:tbl>
    <w:p/>
    <w:p>
      <w:r>
        <w:t>Once the URL was supplied, the live site identified itself directly. Reverse DNS resolved the host to a Google Compute Engine address, confirming the platform:</w:t>
      </w:r>
    </w:p>
    <w:p>
      <w:pPr>
        <w:spacing w:after="120"/>
        <w:ind w:left="432"/>
      </w:pPr>
      <w:r>
        <w:rPr>
          <w:rFonts w:ascii="Consolas" w:hAnsi="Consolas"/>
          <w:sz w:val="18"/>
        </w:rPr>
        <w:t>http://8.231.166.151/</w:t>
        <w:br/>
        <w:t xml:space="preserve">  HTTP/1.1 200 OK</w:t>
        <w:br/>
        <w:t xml:space="preserve">  Server: nginx/1.28.3 (Ubuntu)</w:t>
        <w:br/>
        <w:t xml:space="preserve">  Content-Length: 18103</w:t>
        <w:br/>
        <w:t xml:space="preserve">  Last-Modified: Mon, 14 Sep 2026 05:30:23 GMT</w:t>
        <w:br/>
        <w:t xml:space="preserve">  &lt;title&gt;Kenya Daily Brief&lt;/title&gt;</w:t>
        <w:br/>
        <w:br/>
        <w:t>reverse DNS → 151.166.231.8.bc.googleusercontent.com   (Compute Engine)</w:t>
      </w:r>
    </w:p>
    <w:p>
      <w:r>
        <w:t>The page structure — sectioned RSS cards, a caught “Could not fetch feed / urlopen error timed out” message rendered as a card — indicated a Python generator writing static HTML, served by nginx. That inference proved correct.</w:t>
      </w:r>
    </w:p>
    <w:p>
      <w:pPr>
        <w:pStyle w:val="Heading1"/>
      </w:pPr>
      <w:r>
        <w:t>3. Environment setup</w:t>
      </w:r>
    </w:p>
    <w:p>
      <w:r>
        <w:t>The Google Cloud CLI was installed into the user's home directory using the archive method, deliberately avoiding sudo so that no password prompt could stall the install:</w:t>
      </w:r>
    </w:p>
    <w:p>
      <w:pPr>
        <w:spacing w:after="120"/>
        <w:ind w:left="432"/>
      </w:pPr>
      <w:r>
        <w:rPr>
          <w:rFonts w:ascii="Consolas" w:hAnsi="Consolas"/>
          <w:sz w:val="18"/>
        </w:rPr>
        <w:t>curl -sSL -o gcloud-cli.tar.gz \</w:t>
        <w:br/>
        <w:t xml:space="preserve">  https://dl.google.com/dl/cloudsdk/channels/rapid/downloads/google-cloud-cli-linux-x86_64.tar.gz</w:t>
        <w:br/>
        <w:t>tar -xzf gcloud-cli.tar.gz</w:t>
        <w:br/>
        <w:t>./google-cloud-sdk/install.sh --quiet --usage-reporting=false</w:t>
      </w:r>
    </w:p>
    <w:tbl>
      <w:tblPr>
        <w:tblStyle w:val="TableGrid"/>
        <w:tblW w:type="auto" w:w="0"/>
        <w:tblLook w:firstColumn="1" w:firstRow="1" w:lastColumn="0" w:lastRow="0" w:noHBand="0" w:noVBand="1" w:val="04A0"/>
      </w:tblPr>
      <w:tblGrid>
        <w:gridCol w:w="4320"/>
        <w:gridCol w:w="4320"/>
      </w:tblGrid>
      <w:tr>
        <w:tc>
          <w:tcPr>
            <w:tcW w:type="dxa" w:w="3168"/>
          </w:tcPr>
          <w:p>
            <w:r>
              <w:rPr>
                <w:b/>
                <w:sz w:val="18"/>
              </w:rPr>
              <w:t>Installed version</w:t>
            </w:r>
          </w:p>
        </w:tc>
        <w:tc>
          <w:tcPr>
            <w:tcW w:type="dxa" w:w="5760"/>
          </w:tcPr>
          <w:p>
            <w:r>
              <w:rPr>
                <w:sz w:val="18"/>
              </w:rPr>
              <w:t>Google Cloud SDK 584.0.0</w:t>
            </w:r>
          </w:p>
        </w:tc>
      </w:tr>
      <w:tr>
        <w:tc>
          <w:tcPr>
            <w:tcW w:type="dxa" w:w="3168"/>
          </w:tcPr>
          <w:p>
            <w:r>
              <w:rPr>
                <w:b/>
                <w:sz w:val="18"/>
              </w:rPr>
              <w:t>Location</w:t>
            </w:r>
          </w:p>
        </w:tc>
        <w:tc>
          <w:tcPr>
            <w:tcW w:type="dxa" w:w="5760"/>
          </w:tcPr>
          <w:p>
            <w:r>
              <w:rPr>
                <w:sz w:val="18"/>
              </w:rPr>
              <w:t>/home/mnm/google-cloud-sdk</w:t>
            </w:r>
          </w:p>
        </w:tc>
      </w:tr>
      <w:tr>
        <w:tc>
          <w:tcPr>
            <w:tcW w:type="dxa" w:w="3168"/>
          </w:tcPr>
          <w:p>
            <w:r>
              <w:rPr>
                <w:b/>
                <w:sz w:val="18"/>
              </w:rPr>
              <w:t>PATH</w:t>
            </w:r>
          </w:p>
        </w:tc>
        <w:tc>
          <w:tcPr>
            <w:tcW w:type="dxa" w:w="5760"/>
          </w:tcPr>
          <w:p>
            <w:r>
              <w:rPr>
                <w:sz w:val="18"/>
              </w:rPr>
              <w:t>Added to ~/.bashrc (backup written to ~/.bashrc.backup)</w:t>
            </w:r>
          </w:p>
        </w:tc>
      </w:tr>
      <w:tr>
        <w:tc>
          <w:tcPr>
            <w:tcW w:type="dxa" w:w="3168"/>
          </w:tcPr>
          <w:p>
            <w:r>
              <w:rPr>
                <w:b/>
                <w:sz w:val="18"/>
              </w:rPr>
              <w:t>Authentication</w:t>
            </w:r>
          </w:p>
        </w:tc>
        <w:tc>
          <w:tcPr>
            <w:tcW w:type="dxa" w:w="5760"/>
          </w:tcPr>
          <w:p>
            <w:r>
              <w:rPr>
                <w:sz w:val="18"/>
              </w:rPr>
              <w:t>NOT YET COMPLETED — see section 8</w:t>
            </w:r>
          </w:p>
        </w:tc>
      </w:tr>
    </w:tbl>
    <w:p/>
    <w:p>
      <w:pPr>
        <w:pStyle w:val="Heading1"/>
      </w:pPr>
      <w:r>
        <w:t>4. Discovery on the VM</w:t>
      </w:r>
    </w:p>
    <w:p>
      <w:r>
        <w:t>The VM was inspected over the Google Cloud console SSH session. The application is small and entirely self-contained:</w:t>
      </w:r>
    </w:p>
    <w:tbl>
      <w:tblPr>
        <w:tblStyle w:val="TableGrid"/>
        <w:tblW w:type="auto" w:w="0"/>
        <w:tblLook w:firstColumn="1" w:firstRow="1" w:lastColumn="0" w:lastRow="0" w:noHBand="0" w:noVBand="1" w:val="04A0"/>
      </w:tblPr>
      <w:tblGrid>
        <w:gridCol w:w="4320"/>
        <w:gridCol w:w="4320"/>
      </w:tblGrid>
      <w:tr>
        <w:tc>
          <w:tcPr>
            <w:tcW w:type="dxa" w:w="3168"/>
          </w:tcPr>
          <w:p>
            <w:r>
              <w:rPr>
                <w:b/>
                <w:sz w:val="18"/>
              </w:rPr>
              <w:t>Instance</w:t>
            </w:r>
          </w:p>
        </w:tc>
        <w:tc>
          <w:tcPr>
            <w:tcW w:type="dxa" w:w="5760"/>
          </w:tcPr>
          <w:p>
            <w:r>
              <w:rPr>
                <w:sz w:val="18"/>
              </w:rPr>
              <w:t>kenya-news-vm</w:t>
            </w:r>
          </w:p>
        </w:tc>
      </w:tr>
      <w:tr>
        <w:tc>
          <w:tcPr>
            <w:tcW w:type="dxa" w:w="3168"/>
          </w:tcPr>
          <w:p>
            <w:r>
              <w:rPr>
                <w:b/>
                <w:sz w:val="18"/>
              </w:rPr>
              <w:t>OS</w:t>
            </w:r>
          </w:p>
        </w:tc>
        <w:tc>
          <w:tcPr>
            <w:tcW w:type="dxa" w:w="5760"/>
          </w:tcPr>
          <w:p>
            <w:r>
              <w:rPr>
                <w:sz w:val="18"/>
              </w:rPr>
              <w:t>Ubuntu 26.04 LTS, kernel 7.0.0-1003-gcp</w:t>
            </w:r>
          </w:p>
        </w:tc>
      </w:tr>
      <w:tr>
        <w:tc>
          <w:tcPr>
            <w:tcW w:type="dxa" w:w="3168"/>
          </w:tcPr>
          <w:p>
            <w:r>
              <w:rPr>
                <w:b/>
                <w:sz w:val="18"/>
              </w:rPr>
              <w:t>Application directory</w:t>
            </w:r>
          </w:p>
        </w:tc>
        <w:tc>
          <w:tcPr>
            <w:tcW w:type="dxa" w:w="5760"/>
          </w:tcPr>
          <w:p>
            <w:r>
              <w:rPr>
                <w:sz w:val="18"/>
              </w:rPr>
              <w:t>/opt/kenya-news/</w:t>
            </w:r>
          </w:p>
        </w:tc>
      </w:tr>
      <w:tr>
        <w:tc>
          <w:tcPr>
            <w:tcW w:type="dxa" w:w="3168"/>
          </w:tcPr>
          <w:p>
            <w:r>
              <w:rPr>
                <w:b/>
                <w:sz w:val="18"/>
              </w:rPr>
              <w:t>Generator</w:t>
            </w:r>
          </w:p>
        </w:tc>
        <w:tc>
          <w:tcPr>
            <w:tcW w:type="dxa" w:w="5760"/>
          </w:tcPr>
          <w:p>
            <w:r>
              <w:rPr>
                <w:sz w:val="18"/>
              </w:rPr>
              <w:t>build_news.py — 255 lines, Python 3</w:t>
            </w:r>
          </w:p>
        </w:tc>
      </w:tr>
      <w:tr>
        <w:tc>
          <w:tcPr>
            <w:tcW w:type="dxa" w:w="3168"/>
          </w:tcPr>
          <w:p>
            <w:r>
              <w:rPr>
                <w:b/>
                <w:sz w:val="18"/>
              </w:rPr>
              <w:t>Wrapper</w:t>
            </w:r>
          </w:p>
        </w:tc>
        <w:tc>
          <w:tcPr>
            <w:tcW w:type="dxa" w:w="5760"/>
          </w:tcPr>
          <w:p>
            <w:r>
              <w:rPr>
                <w:sz w:val="18"/>
              </w:rPr>
              <w:t>update_news.sh (runs the generator, sudo cp to docroot)</w:t>
            </w:r>
          </w:p>
        </w:tc>
      </w:tr>
      <w:tr>
        <w:tc>
          <w:tcPr>
            <w:tcW w:type="dxa" w:w="3168"/>
          </w:tcPr>
          <w:p>
            <w:r>
              <w:rPr>
                <w:b/>
                <w:sz w:val="18"/>
              </w:rPr>
              <w:t>Schedule</w:t>
            </w:r>
          </w:p>
        </w:tc>
        <w:tc>
          <w:tcPr>
            <w:tcW w:type="dxa" w:w="5760"/>
          </w:tcPr>
          <w:p>
            <w:r>
              <w:rPr>
                <w:sz w:val="18"/>
              </w:rPr>
              <w:t>cron: 30 6 * * * — daily at 06:30</w:t>
            </w:r>
          </w:p>
        </w:tc>
      </w:tr>
      <w:tr>
        <w:tc>
          <w:tcPr>
            <w:tcW w:type="dxa" w:w="3168"/>
          </w:tcPr>
          <w:p>
            <w:r>
              <w:rPr>
                <w:b/>
                <w:sz w:val="18"/>
              </w:rPr>
              <w:t>Web root</w:t>
            </w:r>
          </w:p>
        </w:tc>
        <w:tc>
          <w:tcPr>
            <w:tcW w:type="dxa" w:w="5760"/>
          </w:tcPr>
          <w:p>
            <w:r>
              <w:rPr>
                <w:sz w:val="18"/>
              </w:rPr>
              <w:t>/var/www/html/index.html, served by nginx</w:t>
            </w:r>
          </w:p>
        </w:tc>
      </w:tr>
      <w:tr>
        <w:tc>
          <w:tcPr>
            <w:tcW w:type="dxa" w:w="3168"/>
          </w:tcPr>
          <w:p>
            <w:r>
              <w:rPr>
                <w:b/>
                <w:sz w:val="18"/>
              </w:rPr>
              <w:t>Version control</w:t>
            </w:r>
          </w:p>
        </w:tc>
        <w:tc>
          <w:tcPr>
            <w:tcW w:type="dxa" w:w="5760"/>
          </w:tcPr>
          <w:p>
            <w:r>
              <w:rPr>
                <w:sz w:val="18"/>
              </w:rPr>
              <w:t>None — no .git on the VM</w:t>
            </w:r>
          </w:p>
        </w:tc>
      </w:tr>
      <w:tr>
        <w:tc>
          <w:tcPr>
            <w:tcW w:type="dxa" w:w="3168"/>
          </w:tcPr>
          <w:p>
            <w:r>
              <w:rPr>
                <w:b/>
                <w:sz w:val="18"/>
              </w:rPr>
              <w:t>Virtual environment</w:t>
            </w:r>
          </w:p>
        </w:tc>
        <w:tc>
          <w:tcPr>
            <w:tcW w:type="dxa" w:w="5760"/>
          </w:tcPr>
          <w:p>
            <w:r>
              <w:rPr>
                <w:sz w:val="18"/>
              </w:rPr>
              <w:t>None — system Python, zero dependencies</w:t>
            </w:r>
          </w:p>
        </w:tc>
      </w:tr>
    </w:tbl>
    <w:p/>
    <w:p>
      <w:pPr>
        <w:pStyle w:val="Heading1"/>
      </w:pPr>
      <w:r>
        <w:t>5. Source retrieved and placed under version control</w:t>
      </w:r>
    </w:p>
    <w:p>
      <w:r>
        <w:t>The source was copied to the working folder on the D: drive and committed unmodified, so that every subsequent change is a reviewable diff against a known-good baseline and can be reverted:</w:t>
      </w:r>
    </w:p>
    <w:p>
      <w:pPr>
        <w:spacing w:after="120"/>
        <w:ind w:left="432"/>
      </w:pPr>
      <w:r>
        <w:rPr>
          <w:rFonts w:ascii="Consolas" w:hAnsi="Consolas"/>
          <w:sz w:val="18"/>
        </w:rPr>
        <w:t>D:\kenya-daily-brief\</w:t>
        <w:br/>
        <w:t xml:space="preserve">  build_news.py            (baseline, exactly as deployed)</w:t>
        <w:br/>
        <w:t xml:space="preserve">  docs\</w:t>
        <w:br/>
        <w:t xml:space="preserve">    SENTIMENT.md</w:t>
        <w:br/>
        <w:t xml:space="preserve">    README-sentiment-section.md</w:t>
        <w:br/>
        <w:t xml:space="preserve">    agreement.py</w:t>
        <w:br/>
        <w:t xml:space="preserve">    kdb-index.html         (captured live output, for reference)</w:t>
        <w:br/>
        <w:t xml:space="preserve">    make_project_log.py    (generates this document)</w:t>
        <w:br/>
        <w:br/>
        <w:t>git commit 30be3f3 — “Baseline: build_news.py as deployed on kenya-news-vm”</w:t>
      </w:r>
    </w:p>
    <w:p>
      <w:pPr>
        <w:pStyle w:val="Heading1"/>
      </w:pPr>
      <w:r>
        <w:t>6. Findings that shape the work</w:t>
      </w:r>
    </w:p>
    <w:p>
      <w:r>
        <w:t>Reading the source turned up several constraints. The first is the significant one — it changes the order of the work:</w:t>
      </w:r>
    </w:p>
    <w:p>
      <w:r>
        <w:rPr>
          <w:b/>
        </w:rPr>
        <w:t xml:space="preserve">6.1  There is no persistence. </w:t>
      </w:r>
      <w:r>
        <w:t>The directory contains only the script, its rendered output, a log, and the wrapper. Each 06:30 run fetches the feeds, builds HTML, and overwrites index.html. Yesterday's articles are gone. This blocks the hand-check directly: 50 articles cannot be sampled from a corpus that does not exist, and the agreement measurement could never be repeated. Article storage must therefore be built first, before any labelling. SQLite covers it and adds no dependency.</w:t>
      </w:r>
    </w:p>
    <w:p>
      <w:r>
        <w:rPr>
          <w:b/>
        </w:rPr>
        <w:t xml:space="preserve">6.2  Only headline and a 220-character standfirst are available. </w:t>
      </w:r>
      <w:r>
        <w:t>The generator reads the RSS &lt;description&gt; field and truncates it: summary[:220]. Article bodies are never fetched. Any labelling therefore reads a headline plus a short standfirst, not a full article — a real constraint on the label definition, and one the rubric has to state rather than quietly assume away.</w:t>
      </w:r>
    </w:p>
    <w:p>
      <w:r>
        <w:rPr>
          <w:b/>
        </w:rPr>
        <w:t xml:space="preserve">6.3  Failed feeds are injected as fake articles. </w:t>
      </w:r>
      <w:r>
        <w:t>The exception handler appends a pseudo-story titled “Could not fetch feed” with the error text as its summary. One is on the live site now (Kenya News Agency, timed out). These must be excluded from storage and labelling, or they become garbage rows that quietly inflate the agreement rate.</w:t>
      </w:r>
    </w:p>
    <w:p>
      <w:r>
        <w:rPr>
          <w:b/>
        </w:rPr>
        <w:t xml:space="preserve">6.4  Timestamps use VM local time. </w:t>
      </w:r>
      <w:r>
        <w:t>datetime.now() returns the server's time, and the VM is on Irish time — so a Kenyan news site is stamped in IST rather than EAT. Minor for display, but article dating matters once a stored corpus exists.</w:t>
      </w:r>
    </w:p>
    <w:p>
      <w:r>
        <w:rPr>
          <w:b/>
        </w:rPr>
        <w:t xml:space="preserve">6.5  Adding an LLM introduces the first dependency. </w:t>
      </w:r>
      <w:r>
        <w:t>The project currently imports only urllib, ElementTree, html.escape and datetime. The Anthropic SDK will be the first external package, and Ubuntu 26.04 enforces PEP 668 — so a virtual environment is required, and update_news.sh must be updated to use it. The API key needs a home outside the source and outside git.</w:t>
      </w:r>
    </w:p>
    <w:p>
      <w:pPr>
        <w:pStyle w:val="Heading1"/>
      </w:pPr>
      <w:r>
        <w:t>7. Decisions taken</w:t>
      </w:r>
    </w:p>
    <w:tbl>
      <w:tblPr>
        <w:tblStyle w:val="TableGrid"/>
        <w:tblW w:type="auto" w:w="0"/>
        <w:tblLook w:firstColumn="1" w:firstRow="1" w:lastColumn="0" w:lastRow="0" w:noHBand="0" w:noVBand="1" w:val="04A0"/>
      </w:tblPr>
      <w:tblGrid>
        <w:gridCol w:w="4320"/>
        <w:gridCol w:w="4320"/>
      </w:tblGrid>
      <w:tr>
        <w:tc>
          <w:tcPr>
            <w:tcW w:type="dxa" w:w="3024"/>
          </w:tcPr>
          <w:p>
            <w:r>
              <w:rPr>
                <w:b/>
                <w:sz w:val="18"/>
              </w:rPr>
              <w:t>Decision</w:t>
            </w:r>
          </w:p>
        </w:tc>
        <w:tc>
          <w:tcPr>
            <w:tcW w:type="dxa" w:w="5904"/>
          </w:tcPr>
          <w:p>
            <w:r>
              <w:rPr>
                <w:b/>
                <w:sz w:val="18"/>
              </w:rPr>
              <w:t>Rationale</w:t>
            </w:r>
          </w:p>
        </w:tc>
      </w:tr>
      <w:tr>
        <w:tc>
          <w:tcPr>
            <w:tcW w:type="dxa" w:w="3024"/>
          </w:tcPr>
          <w:p>
            <w:r>
              <w:rPr>
                <w:sz w:val="18"/>
              </w:rPr>
              <w:t>Sentiment = entity-scoped article tone</w:t>
            </w:r>
          </w:p>
        </w:tc>
        <w:tc>
          <w:tcPr>
            <w:tcW w:type="dxa" w:w="5904"/>
          </w:tcPr>
          <w:p>
            <w:r>
              <w:rPr>
                <w:sz w:val="18"/>
              </w:rPr>
              <w:t>The stance the article takes toward one named entity. A Kenyan article routinely praises one actor and condemns another in the same paragraph; a document-level score averages those into a meaningless neutral.</w:t>
            </w:r>
          </w:p>
        </w:tc>
      </w:tr>
      <w:tr>
        <w:tc>
          <w:tcPr>
            <w:tcW w:type="dxa" w:w="3024"/>
          </w:tcPr>
          <w:p>
            <w:r>
              <w:rPr>
                <w:sz w:val="18"/>
              </w:rPr>
              <w:t>Unit is the (article, entity) pair</w:t>
            </w:r>
          </w:p>
        </w:tc>
        <w:tc>
          <w:tcPr>
            <w:tcW w:type="dxa" w:w="5904"/>
          </w:tcPr>
          <w:p>
            <w:r>
              <w:rPr>
                <w:sz w:val="18"/>
              </w:rPr>
              <w:t>Not the article. One article yields one row per salient entity.</w:t>
            </w:r>
          </w:p>
        </w:tc>
      </w:tr>
      <w:tr>
        <w:tc>
          <w:tcPr>
            <w:tcW w:type="dxa" w:w="3024"/>
          </w:tcPr>
          <w:p>
            <w:r>
              <w:rPr>
                <w:sz w:val="18"/>
              </w:rPr>
              <w:t>Evidence span is a required field</w:t>
            </w:r>
          </w:p>
        </w:tc>
        <w:tc>
          <w:tcPr>
            <w:tcW w:type="dxa" w:w="5904"/>
          </w:tcPr>
          <w:p>
            <w:r>
              <w:rPr>
                <w:sz w:val="18"/>
              </w:rPr>
              <w:t>Forces the labeller to point at text rather than at a vibe, and makes each human check take seconds instead of a full re-read.</w:t>
            </w:r>
          </w:p>
        </w:tc>
      </w:tr>
      <w:tr>
        <w:tc>
          <w:tcPr>
            <w:tcW w:type="dxa" w:w="3024"/>
          </w:tcPr>
          <w:p>
            <w:r>
              <w:rPr>
                <w:sz w:val="18"/>
              </w:rPr>
              <w:t>Report Cohen's κ alongside raw agreement</w:t>
            </w:r>
          </w:p>
        </w:tc>
        <w:tc>
          <w:tcPr>
            <w:tcW w:type="dxa" w:w="5904"/>
          </w:tcPr>
          <w:p>
            <w:r>
              <w:rPr>
                <w:sz w:val="18"/>
              </w:rPr>
              <w:t>Most Kenyan reportage is genuinely neutral, so a labeller answering “neutral” every time would score roughly 60% raw. κ corrects for agreement by chance; the pair is honest where either alone is not.</w:t>
            </w:r>
          </w:p>
        </w:tc>
      </w:tr>
      <w:tr>
        <w:tc>
          <w:tcPr>
            <w:tcW w:type="dxa" w:w="3024"/>
          </w:tcPr>
          <w:p>
            <w:r>
              <w:rPr>
                <w:sz w:val="18"/>
              </w:rPr>
              <w:t>Adjudicate blind</w:t>
            </w:r>
          </w:p>
        </w:tc>
        <w:tc>
          <w:tcPr>
            <w:tcW w:type="dxa" w:w="5904"/>
          </w:tcPr>
          <w:p>
            <w:r>
              <w:rPr>
                <w:sz w:val="18"/>
              </w:rPr>
              <w:t>The model's label stays hidden until all 50 human labels are recorded. Reading the prediction first measures self-agreement, not accuracy.</w:t>
            </w:r>
          </w:p>
        </w:tc>
      </w:tr>
      <w:tr>
        <w:tc>
          <w:tcPr>
            <w:tcW w:type="dxa" w:w="3024"/>
          </w:tcPr>
          <w:p>
            <w:r>
              <w:rPr>
                <w:sz w:val="18"/>
              </w:rPr>
              <w:t>Sample stratified, then re-weight</w:t>
            </w:r>
          </w:p>
        </w:tc>
        <w:tc>
          <w:tcPr>
            <w:tcW w:type="dxa" w:w="5904"/>
          </w:tcPr>
          <w:p>
            <w:r>
              <w:rPr>
                <w:sz w:val="18"/>
              </w:rPr>
              <w:t>A random 50 from this corpus would return mostly neutrals and measure nothing about the rare classes. The headline figure is re-weighted by the corpus class prior.</w:t>
            </w:r>
          </w:p>
        </w:tc>
      </w:tr>
      <w:tr>
        <w:tc>
          <w:tcPr>
            <w:tcW w:type="dxa" w:w="3024"/>
          </w:tcPr>
          <w:p>
            <w:r>
              <w:rPr>
                <w:sz w:val="18"/>
              </w:rPr>
              <w:t>Storage before labelling</w:t>
            </w:r>
          </w:p>
        </w:tc>
        <w:tc>
          <w:tcPr>
            <w:tcW w:type="dxa" w:w="5904"/>
          </w:tcPr>
          <w:p>
            <w:r>
              <w:rPr>
                <w:sz w:val="18"/>
              </w:rPr>
              <w:t>Per finding 6.1 — the hand-check is impossible without a stable corpus.</w:t>
            </w:r>
          </w:p>
        </w:tc>
      </w:tr>
    </w:tbl>
    <w:p/>
    <w:p>
      <w:pPr>
        <w:pStyle w:val="Heading1"/>
      </w:pPr>
      <w:r>
        <w:t>8. Produced so far</w:t>
      </w:r>
    </w:p>
    <w:p>
      <w:r>
        <w:t>The scope decision was taken: label on headline plus standfirst, and narrow the rubric to say so explicitly, rather than applying a full-article rubric to 220 characters and hoping nobody checks.</w:t>
      </w:r>
    </w:p>
    <w:tbl>
      <w:tblPr>
        <w:tblStyle w:val="TableGrid"/>
        <w:tblW w:type="auto" w:w="0"/>
        <w:tblLook w:firstColumn="1" w:firstRow="1" w:lastColumn="0" w:lastRow="0" w:noHBand="0" w:noVBand="1" w:val="04A0"/>
      </w:tblPr>
      <w:tblGrid>
        <w:gridCol w:w="4320"/>
        <w:gridCol w:w="4320"/>
      </w:tblGrid>
      <w:tr>
        <w:tc>
          <w:tcPr>
            <w:tcW w:type="dxa" w:w="2448"/>
          </w:tcPr>
          <w:p>
            <w:r>
              <w:rPr>
                <w:b/>
                <w:sz w:val="18"/>
              </w:rPr>
              <w:t>File</w:t>
            </w:r>
          </w:p>
        </w:tc>
        <w:tc>
          <w:tcPr>
            <w:tcW w:type="dxa" w:w="6480"/>
          </w:tcPr>
          <w:p>
            <w:r>
              <w:rPr>
                <w:b/>
                <w:sz w:val="18"/>
              </w:rPr>
              <w:t>Contents</w:t>
            </w:r>
          </w:p>
        </w:tc>
      </w:tr>
      <w:tr>
        <w:tc>
          <w:tcPr>
            <w:tcW w:type="dxa" w:w="2448"/>
          </w:tcPr>
          <w:p>
            <w:r>
              <w:rPr>
                <w:sz w:val="18"/>
              </w:rPr>
              <w:t>docs\SENTIMENT.md</w:t>
            </w:r>
          </w:p>
        </w:tc>
        <w:tc>
          <w:tcPr>
            <w:tcW w:type="dxa" w:w="6480"/>
          </w:tcPr>
          <w:p>
            <w:r>
              <w:rPr>
                <w:sz w:val="18"/>
              </w:rPr>
              <w:t>The label definition, version v1.0-headline-standfirst. Chosen definition, schema, three class definitions, nine decision rules, confidence bands, entity-selection test, annotation protocol and stated limits. Opens by stating exactly what the labeller sees.</w:t>
            </w:r>
          </w:p>
        </w:tc>
      </w:tr>
      <w:tr>
        <w:tc>
          <w:tcPr>
            <w:tcW w:type="dxa" w:w="2448"/>
          </w:tcPr>
          <w:p>
            <w:r>
              <w:rPr>
                <w:sz w:val="18"/>
              </w:rPr>
              <w:t>store.py</w:t>
            </w:r>
          </w:p>
        </w:tc>
        <w:tc>
          <w:tcPr>
            <w:tcW w:type="dxa" w:w="6480"/>
          </w:tcPr>
          <w:p>
            <w:r>
              <w:rPr>
                <w:sz w:val="18"/>
              </w:rPr>
              <w:t>SQLite corpus — articles, labels, and a run audit table. Model and human labels coexist per (article, entity) because labeller is part of the primary key, which is what the agreement measurement needs. Also exports the three scoring CSVs.</w:t>
            </w:r>
          </w:p>
        </w:tc>
      </w:tr>
      <w:tr>
        <w:tc>
          <w:tcPr>
            <w:tcW w:type="dxa" w:w="2448"/>
          </w:tcPr>
          <w:p>
            <w:r>
              <w:rPr>
                <w:sz w:val="18"/>
              </w:rPr>
              <w:t>label.py</w:t>
            </w:r>
          </w:p>
        </w:tc>
        <w:tc>
          <w:tcPr>
            <w:tcW w:type="dxa" w:w="6480"/>
          </w:tcPr>
          <w:p>
            <w:r>
              <w:rPr>
                <w:sz w:val="18"/>
              </w:rPr>
              <w:t>LLM labeller. claude-opus-5, adaptive thinking, structured output pinned to the schema. Handles refusals explicitly and records every attempt.</w:t>
            </w:r>
          </w:p>
        </w:tc>
      </w:tr>
      <w:tr>
        <w:tc>
          <w:tcPr>
            <w:tcW w:type="dxa" w:w="2448"/>
          </w:tcPr>
          <w:p>
            <w:r>
              <w:rPr>
                <w:sz w:val="18"/>
              </w:rPr>
              <w:t>handcheck.py</w:t>
            </w:r>
          </w:p>
        </w:tc>
        <w:tc>
          <w:tcPr>
            <w:tcW w:type="dxa" w:w="6480"/>
          </w:tcPr>
          <w:p>
            <w:r>
              <w:rPr>
                <w:sz w:val="18"/>
              </w:rPr>
              <w:t>Blind adjudication CLI. Shows headline, standfirst and entity; hides the model's tone, confidence and evidence. Resumable on a fixed seed.</w:t>
            </w:r>
          </w:p>
        </w:tc>
      </w:tr>
      <w:tr>
        <w:tc>
          <w:tcPr>
            <w:tcW w:type="dxa" w:w="2448"/>
          </w:tcPr>
          <w:p>
            <w:r>
              <w:rPr>
                <w:sz w:val="18"/>
              </w:rPr>
              <w:t>docs\agreement.py</w:t>
            </w:r>
          </w:p>
        </w:tc>
        <w:tc>
          <w:tcPr>
            <w:tcW w:type="dxa" w:w="6480"/>
          </w:tcPr>
          <w:p>
            <w:r>
              <w:rPr>
                <w:sz w:val="18"/>
              </w:rPr>
              <w:t>Scorer. Raw agreement, Cohen's κ, 3×3 confusion matrix, per-class agreement, agreement by confidence band, corpus-prior re-weighting, and a disagreement listing with direction.</w:t>
            </w:r>
          </w:p>
        </w:tc>
      </w:tr>
      <w:tr>
        <w:tc>
          <w:tcPr>
            <w:tcW w:type="dxa" w:w="2448"/>
          </w:tcPr>
          <w:p>
            <w:r>
              <w:rPr>
                <w:sz w:val="18"/>
              </w:rPr>
              <w:t>build_news.py</w:t>
            </w:r>
          </w:p>
        </w:tc>
        <w:tc>
          <w:tcPr>
            <w:tcW w:type="dxa" w:w="6480"/>
          </w:tcPr>
          <w:p>
            <w:r>
              <w:rPr>
                <w:sz w:val="18"/>
              </w:rPr>
              <w:t>Rewired: fetch → store → render, with tone badges on each card.</w:t>
            </w:r>
          </w:p>
        </w:tc>
      </w:tr>
      <w:tr>
        <w:tc>
          <w:tcPr>
            <w:tcW w:type="dxa" w:w="2448"/>
          </w:tcPr>
          <w:p>
            <w:r>
              <w:rPr>
                <w:sz w:val="18"/>
              </w:rPr>
              <w:t>README.md</w:t>
            </w:r>
          </w:p>
        </w:tc>
        <w:tc>
          <w:tcPr>
            <w:tcW w:type="dxa" w:w="6480"/>
          </w:tcPr>
          <w:p>
            <w:r>
              <w:rPr>
                <w:sz w:val="18"/>
              </w:rPr>
              <w:t>Includes the definition, the agreement table, and the case against off-the-shelf sentiment models.</w:t>
            </w:r>
          </w:p>
        </w:tc>
      </w:tr>
      <w:tr>
        <w:tc>
          <w:tcPr>
            <w:tcW w:type="dxa" w:w="2448"/>
          </w:tcPr>
          <w:p>
            <w:r>
              <w:rPr>
                <w:sz w:val="18"/>
              </w:rPr>
              <w:t>update_news.sh</w:t>
            </w:r>
          </w:p>
        </w:tc>
        <w:tc>
          <w:tcPr>
            <w:tcW w:type="dxa" w:w="6480"/>
          </w:tcPr>
          <w:p>
            <w:r>
              <w:rPr>
                <w:sz w:val="18"/>
              </w:rPr>
              <w:t>Adds venv activation, the API key env file, and a labelling pass that is non-fatal — a labelling failure must not take the site down.</w:t>
            </w:r>
          </w:p>
        </w:tc>
      </w:tr>
    </w:tbl>
    <w:p/>
    <w:p>
      <w:pPr>
        <w:pStyle w:val="Heading2"/>
      </w:pPr>
      <w:r>
        <w:t>8.1  Testing</w:t>
      </w:r>
    </w:p>
    <w:p>
      <w:r>
        <w:t>The pipeline was run end to end locally against a copy of the corpus with synthetic labels, so the whole chain was exercised before any API key was involved: 26 stories fetched, 25 stored (the failed-feed card correctly excluded), 51 labels injected, adjudication driven with scripted input, CSVs exported, and the scorer run. Tone badges were confirmed to render.</w:t>
      </w:r>
    </w:p>
    <w:p>
      <w:r>
        <w:t>That test found a real bug. save_labels() deletes an article's existing labels for a labeller before inserting — correct for the model, which emits every entity in one response, but wrong for the human, who adjudicates one entity at a time. Where the sample contained two entities from the same article, recording the second silently erased the first: ten adjudications, eight rows stored. Fixed by adding upsert_label() for single-pair writes. This is exactly the class of bug that would have quietly corrupted the agreement number rather than announcing itself.</w:t>
      </w:r>
    </w:p>
    <w:p>
      <w:pPr>
        <w:pStyle w:val="Heading1"/>
      </w:pPr>
      <w:r>
        <w:t>9. Outstanding</w:t>
      </w:r>
    </w:p>
    <w:p>
      <w:r>
        <w:t>Both prerequisites are now complete: gcloud is authenticated against project kenyan-ai-news-summary, and the API key is in /etc/kenya-news.env on the VM. The system is deployed and live — see section 10.</w:t>
      </w:r>
    </w:p>
    <w:p>
      <w:pPr>
        <w:pStyle w:val="Heading2"/>
      </w:pPr>
      <w:r>
        <w:t>9.1  Where the data lives</w:t>
      </w:r>
    </w:p>
    <w:p>
      <w:r>
        <w:t>Three places, and it is worth being precise about which is authoritative:</w:t>
      </w:r>
    </w:p>
    <w:tbl>
      <w:tblPr>
        <w:tblStyle w:val="TableGrid"/>
        <w:tblW w:type="auto" w:w="0"/>
        <w:tblLook w:firstColumn="1" w:firstRow="1" w:lastColumn="0" w:lastRow="0" w:noHBand="0" w:noVBand="1" w:val="04A0"/>
      </w:tblPr>
      <w:tblGrid>
        <w:gridCol w:w="4320"/>
        <w:gridCol w:w="4320"/>
      </w:tblGrid>
      <w:tr>
        <w:tc>
          <w:tcPr>
            <w:tcW w:type="dxa" w:w="3024"/>
          </w:tcPr>
          <w:p>
            <w:r>
              <w:rPr>
                <w:b/>
                <w:sz w:val="18"/>
              </w:rPr>
              <w:t>Location</w:t>
            </w:r>
          </w:p>
        </w:tc>
        <w:tc>
          <w:tcPr>
            <w:tcW w:type="dxa" w:w="5904"/>
          </w:tcPr>
          <w:p>
            <w:r>
              <w:rPr>
                <w:b/>
                <w:sz w:val="18"/>
              </w:rPr>
              <w:t>What, and whose</w:t>
            </w:r>
          </w:p>
        </w:tc>
      </w:tr>
      <w:tr>
        <w:tc>
          <w:tcPr>
            <w:tcW w:type="dxa" w:w="3024"/>
          </w:tcPr>
          <w:p>
            <w:r>
              <w:rPr>
                <w:sz w:val="18"/>
              </w:rPr>
              <w:t>VM persistent disk</w:t>
              <w:br/>
              <w:t>/opt/kenya-news/kenya_news.db</w:t>
            </w:r>
          </w:p>
        </w:tc>
        <w:tc>
          <w:tcPr>
            <w:tcW w:type="dxa" w:w="5904"/>
          </w:tcPr>
          <w:p>
            <w:r>
              <w:rPr>
                <w:sz w:val="18"/>
              </w:rPr>
              <w:t>The master corpus, once deployed. Your GCP project, Google's infrastructure, in the VM's region. Cron appends to it daily, so it is the only copy that stays current.</w:t>
            </w:r>
          </w:p>
        </w:tc>
      </w:tr>
      <w:tr>
        <w:tc>
          <w:tcPr>
            <w:tcW w:type="dxa" w:w="3024"/>
          </w:tcPr>
          <w:p>
            <w:r>
              <w:rPr>
                <w:sz w:val="18"/>
              </w:rPr>
              <w:t>D:\kenya-daily-brief\</w:t>
            </w:r>
          </w:p>
        </w:tc>
        <w:tc>
          <w:tcPr>
            <w:tcW w:type="dxa" w:w="5904"/>
          </w:tcPr>
          <w:p>
            <w:r>
              <w:rPr>
                <w:sz w:val="18"/>
              </w:rPr>
              <w:t>The code, under git — authoritative for source. Also currently holds a 25-article database from local testing, which will diverge from the VM once deployed and should be treated as scratch.</w:t>
            </w:r>
          </w:p>
        </w:tc>
      </w:tr>
      <w:tr>
        <w:tc>
          <w:tcPr>
            <w:tcW w:type="dxa" w:w="3024"/>
          </w:tcPr>
          <w:p>
            <w:r>
              <w:rPr>
                <w:sz w:val="18"/>
              </w:rPr>
              <w:t>Anthropic API</w:t>
            </w:r>
          </w:p>
        </w:tc>
        <w:tc>
          <w:tcPr>
            <w:tcW w:type="dxa" w:w="5904"/>
          </w:tcPr>
          <w:p>
            <w:r>
              <w:rPr>
                <w:sz w:val="18"/>
              </w:rPr>
              <w:t>Headline and standfirst are sent for labelling. Public news text, but it does leave your infrastructure. Nothing else is transmitted.</w:t>
            </w:r>
          </w:p>
        </w:tc>
      </w:tr>
    </w:tbl>
    <w:p/>
    <w:p>
      <w:r>
        <w:t>Recommended split, so no file is authoritative in two places: code flows from D: to the VM, data flows from the VM to D:. Run the hand-check over SSH against the VM's database rather than pulling it down, adjudicating locally, and pushing it back — cron writes to that file every morning, and a push-back would clobber whatever it added. Pull copies down for backup and analysis freely; just do not write to them and send them back.</w:t>
      </w:r>
    </w:p>
    <w:p>
      <w:r>
        <w:t>Volume is negligible: roughly 25–30 articles a day, a few megabytes a year.</w:t>
      </w:r>
    </w:p>
    <w:p>
      <w:pPr>
        <w:pStyle w:val="Heading2"/>
      </w:pPr>
      <w:r>
        <w:t>9.2  Remaining</w:t>
      </w:r>
    </w:p>
    <w:p>
      <w:pPr>
        <w:pStyle w:val="ListBullet"/>
      </w:pPr>
      <w:r>
        <w:t>Accumulate enough articles to draw 50 (article, entity) pairs — 30 exist, so one more 06:30 cron run should clear it</w:t>
      </w:r>
    </w:p>
    <w:p>
      <w:pPr>
        <w:pStyle w:val="ListBullet"/>
      </w:pPr>
      <w:r>
        <w:t>Run the blind hand-check (handcheck.py, over an interactive SSH session)</w:t>
      </w:r>
    </w:p>
    <w:p>
      <w:pPr>
        <w:pStyle w:val="ListBullet"/>
      </w:pPr>
      <w:r>
        <w:t>Fill the agreement table in README.md with the measured figures</w:t>
      </w:r>
    </w:p>
    <w:p>
      <w:pPr>
        <w:pStyle w:val="ListBullet"/>
      </w:pPr>
      <w:r>
        <w:t>Consider a second adjudicator, which would give a human–human ceiling</w:t>
      </w:r>
    </w:p>
    <w:p>
      <w:pPr>
        <w:pStyle w:val="Heading1"/>
      </w:pPr>
      <w:r>
        <w:t>10. Deployment and first labelling run</w:t>
      </w:r>
    </w:p>
    <w:p>
      <w:r>
        <w:t>Deployed to kenya-news-vm (us-west1-a, e2-micro, free tier). The live files were backed up first as *.bak-20260914-1244, so the previous version can be restored with three cp commands. Two environment problems surfaced and were fixed: the Ubuntu image was minimized and had no ensurepip, so python3.14-venv had to be installed before a virtual environment could be created; and the API key file had been placed root-owned at chmod 600, which the cron job — running under the user crontab, not root's — could not read, so labelling would have silently skipped every morning. Ownership was moved to the cron user.</w:t>
      </w:r>
    </w:p>
    <w:p>
      <w:r>
        <w:t>Two code bugs were found by running against the real API, both of which would have failed quietly rather than loudly:</w:t>
      </w:r>
    </w:p>
    <w:p>
      <w:pPr>
        <w:pStyle w:val="ListBullet"/>
      </w:pPr>
      <w:r>
        <w:t>An errored labelling attempt permanently retired an article from the queue, because the pending query excluded any article with any prior run record. All 20 articles that failed on a billing error would never have been retried. Only 'ok' and 'refused' are final now.</w:t>
      </w:r>
    </w:p>
    <w:p>
      <w:pPr>
        <w:pStyle w:val="ListBullet"/>
      </w:pPr>
      <w:r>
        <w:t>The output schema used maxItems on an array, which structured outputs rejects. The three-entity cap moved to the prompt and a client-side trim.</w:t>
      </w:r>
    </w:p>
    <w:p>
      <w:pPr>
        <w:pStyle w:val="Heading2"/>
      </w:pPr>
      <w:r>
        <w:t>10.1  First results</w:t>
      </w:r>
    </w:p>
    <w:tbl>
      <w:tblPr>
        <w:tblStyle w:val="TableGrid"/>
        <w:tblW w:type="auto" w:w="0"/>
        <w:tblLook w:firstColumn="1" w:firstRow="1" w:lastColumn="0" w:lastRow="0" w:noHBand="0" w:noVBand="1" w:val="04A0"/>
      </w:tblPr>
      <w:tblGrid>
        <w:gridCol w:w="4320"/>
        <w:gridCol w:w="4320"/>
      </w:tblGrid>
      <w:tr>
        <w:tc>
          <w:tcPr>
            <w:tcW w:type="dxa" w:w="3168"/>
          </w:tcPr>
          <w:p>
            <w:r>
              <w:rPr>
                <w:b/>
                <w:sz w:val="18"/>
              </w:rPr>
              <w:t>Articles labelled</w:t>
            </w:r>
          </w:p>
        </w:tc>
        <w:tc>
          <w:tcPr>
            <w:tcW w:type="dxa" w:w="5760"/>
          </w:tcPr>
          <w:p>
            <w:r>
              <w:rPr>
                <w:sz w:val="18"/>
              </w:rPr>
              <w:t>20, producing 30 (article, entity) pairs, in 84 seconds</w:t>
            </w:r>
          </w:p>
        </w:tc>
      </w:tr>
      <w:tr>
        <w:tc>
          <w:tcPr>
            <w:tcW w:type="dxa" w:w="3168"/>
          </w:tcPr>
          <w:p>
            <w:r>
              <w:rPr>
                <w:b/>
                <w:sz w:val="18"/>
              </w:rPr>
              <w:t>Tone distribution</w:t>
            </w:r>
          </w:p>
        </w:tc>
        <w:tc>
          <w:tcPr>
            <w:tcW w:type="dxa" w:w="5760"/>
          </w:tcPr>
          <w:p>
            <w:r>
              <w:rPr>
                <w:sz w:val="18"/>
              </w:rPr>
              <w:t>20.0% negative · 56.7% neutral · 23.3% positive</w:t>
            </w:r>
          </w:p>
        </w:tc>
      </w:tr>
      <w:tr>
        <w:tc>
          <w:tcPr>
            <w:tcW w:type="dxa" w:w="3168"/>
          </w:tcPr>
          <w:p>
            <w:r>
              <w:rPr>
                <w:b/>
                <w:sz w:val="18"/>
              </w:rPr>
              <w:t>Articles given zero labels</w:t>
            </w:r>
          </w:p>
        </w:tc>
        <w:tc>
          <w:tcPr>
            <w:tcW w:type="dxa" w:w="5760"/>
          </w:tcPr>
          <w:p>
            <w:r>
              <w:rPr>
                <w:sz w:val="18"/>
              </w:rPr>
              <w:t>3</w:t>
            </w:r>
          </w:p>
        </w:tc>
      </w:tr>
      <w:tr>
        <w:tc>
          <w:tcPr>
            <w:tcW w:type="dxa" w:w="3168"/>
          </w:tcPr>
          <w:p>
            <w:r>
              <w:rPr>
                <w:b/>
                <w:sz w:val="18"/>
              </w:rPr>
              <w:t>Live</w:t>
            </w:r>
          </w:p>
        </w:tc>
        <w:tc>
          <w:tcPr>
            <w:tcW w:type="dxa" w:w="5760"/>
          </w:tcPr>
          <w:p>
            <w:r>
              <w:rPr>
                <w:sz w:val="18"/>
              </w:rPr>
              <w:t>Published to /var/www/html/index.html, 17 badged cards</w:t>
            </w:r>
          </w:p>
        </w:tc>
      </w:tr>
    </w:tbl>
    <w:p/>
    <w:p>
      <w:r>
        <w:t>The neutral share sitting above 50% is the first indication that the labeller is scoring stance rather than event valence, which is what the rubric spends R1, R2 and R3 trying to enforce.</w:t>
      </w:r>
    </w:p>
    <w:p>
      <w:r>
        <w:t>Three cases chosen in advance as tests of the rules all came back correct: “Sifuna accuses Ruto of undermining devolution” returned neutral toward both parties (R2 — the verb carries the attribution); “Ruto's Tata Chemicals tantrum spooks investors” returned negative toward Ruto at 0.95, citing the headline (R9 — “tantrum” is the publication's word); and “Babu Owino pledges good service” returned neutral (R6 — an attributed promise, not one the text adopts).</w:t>
      </w:r>
    </w:p>
    <w:p>
      <w:r>
        <w:t>More telling, three articles were correctly given no labels at all, including “Woman killed in hit and run at Jacaranda rally” and “16 injured, vehicles damaged as Golbo protests force suspension of land registration”. Both are violent events with no blame attributed and no named entity to attach it to (R1, R5). An off-the-shelf review-trained classifier would score both strongly negative. That is the argument of the README's final section, now demonstrated rather than asserted.</w:t>
      </w:r>
    </w:p>
    <w:p>
      <w:r>
        <w:rPr>
          <w:b/>
        </w:rPr>
        <w:t xml:space="preserve">These three canaries are not a measurement. </w:t>
      </w:r>
      <w:r>
        <w:t>They were hand-picked in advance, and three cases chosen by the person who wrote the rules prove only that the rules are implementable. The agreement table in README.md stays marked pending until 50 pairs have been adjudicated blind.</w:t>
      </w:r>
    </w:p>
    <w:p/>
    <w:p>
      <w:r>
        <w:rPr>
          <w:i/>
          <w:color w:val="6B7280"/>
          <w:sz w:val="18"/>
        </w:rPr>
        <w:t>Live at http://8.231.166.151/ · working copy D:\kenya-daily-brief under git · previous version recoverable from *.bak-20260914-1244 on the VM.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