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B2FFD" w14:textId="3A88EE4D" w:rsidR="004E15B0" w:rsidRPr="00E31146" w:rsidRDefault="0099238D" w:rsidP="00493201">
      <w:pPr>
        <w:pStyle w:val="Title"/>
      </w:pPr>
      <w:r>
        <w:t>Verification of the Spalart-Allmaras Eddy-Viscosity Model in MATLAB</w:t>
      </w:r>
    </w:p>
    <w:p w14:paraId="561CD087" w14:textId="41271835" w:rsidR="004E15B0" w:rsidRPr="00E31146" w:rsidRDefault="00493201" w:rsidP="00493201">
      <w:pPr>
        <w:pStyle w:val="AuthorNames"/>
      </w:pPr>
      <w:r>
        <w:t>Nicholas J. Giampetro</w:t>
      </w:r>
      <w:r w:rsidR="00223D1F" w:rsidRPr="00E31146">
        <w:t>,</w:t>
      </w:r>
      <w:r w:rsidR="004E15B0" w:rsidRPr="00E31146">
        <w:rPr>
          <w:rStyle w:val="FootnoteReference"/>
        </w:rPr>
        <w:footnoteReference w:id="1"/>
      </w:r>
      <w:r w:rsidR="00C37985" w:rsidRPr="00E31146">
        <w:t xml:space="preserve"> </w:t>
      </w:r>
      <w:r w:rsidR="004E15B0" w:rsidRPr="00E31146">
        <w:t xml:space="preserve"> </w:t>
      </w:r>
    </w:p>
    <w:p w14:paraId="0C10B4A3" w14:textId="71BA3D74" w:rsidR="0095311F" w:rsidRDefault="00493201" w:rsidP="00493201">
      <w:pPr>
        <w:pStyle w:val="AuthorNames"/>
      </w:pPr>
      <w:r w:rsidRPr="00493201">
        <w:rPr>
          <w:i/>
          <w:iCs/>
          <w:color w:val="000000"/>
        </w:rPr>
        <w:t>The Pennsylvania State University, University Park, PA 16802, USA</w:t>
      </w:r>
    </w:p>
    <w:p w14:paraId="3023D97C" w14:textId="77777777" w:rsidR="00493201" w:rsidRPr="00493201" w:rsidRDefault="00493201" w:rsidP="00493201">
      <w:pPr>
        <w:pStyle w:val="StyleAbstractLinespacingDouble1"/>
        <w:spacing w:afterAutospacing="1" w:line="240" w:lineRule="auto"/>
        <w:rPr>
          <w:color w:val="000000"/>
        </w:rPr>
      </w:pPr>
      <w:r w:rsidRPr="00493201">
        <w:rPr>
          <w:color w:val="000000"/>
        </w:rPr>
        <w:t xml:space="preserve">This report documents the reproduction of the results of Spalart and Allmaras [1] and Spalart and Garbaruk [2] utilizing a MATLAB [3] code that discretizes the governing equations with by applying a central differencing technique… </w:t>
      </w:r>
    </w:p>
    <w:p w14:paraId="14723B65" w14:textId="77777777" w:rsidR="004E15B0" w:rsidRPr="00E31146" w:rsidRDefault="004E15B0" w:rsidP="00493201">
      <w:pPr>
        <w:pStyle w:val="Heading1"/>
        <w:numPr>
          <w:ilvl w:val="0"/>
          <w:numId w:val="0"/>
        </w:numPr>
      </w:pPr>
      <w:r w:rsidRPr="00E31146">
        <w:t>Nomenclature</w:t>
      </w:r>
    </w:p>
    <w:p w14:paraId="57D610C7" w14:textId="77777777" w:rsidR="00493201" w:rsidRPr="00BD61E8" w:rsidRDefault="00493201" w:rsidP="003B7030">
      <w:pPr>
        <w:widowControl w:val="0"/>
        <w:tabs>
          <w:tab w:val="left" w:pos="540"/>
          <w:tab w:val="left" w:pos="990"/>
        </w:tabs>
        <w:spacing w:line="276" w:lineRule="auto"/>
      </w:pPr>
      <w:r>
        <w:rPr>
          <w:i/>
        </w:rPr>
        <w:t>c</w:t>
      </w:r>
      <w:r>
        <w:rPr>
          <w:i/>
          <w:vertAlign w:val="subscript"/>
        </w:rPr>
        <w:t>b1</w:t>
      </w:r>
      <w:r w:rsidRPr="00BD61E8">
        <w:tab/>
        <w:t>=</w:t>
      </w:r>
      <w:r w:rsidRPr="00BD61E8">
        <w:tab/>
      </w:r>
      <w:r>
        <w:t>first empirical constant in the model</w:t>
      </w:r>
    </w:p>
    <w:p w14:paraId="4A4E8A4B" w14:textId="77777777" w:rsidR="00493201" w:rsidRDefault="00493201" w:rsidP="003B7030">
      <w:pPr>
        <w:widowControl w:val="0"/>
        <w:tabs>
          <w:tab w:val="left" w:pos="540"/>
          <w:tab w:val="left" w:pos="990"/>
        </w:tabs>
        <w:spacing w:line="276" w:lineRule="auto"/>
      </w:pPr>
      <w:r>
        <w:rPr>
          <w:i/>
        </w:rPr>
        <w:t>c</w:t>
      </w:r>
      <w:r>
        <w:rPr>
          <w:i/>
          <w:vertAlign w:val="subscript"/>
        </w:rPr>
        <w:t>b2</w:t>
      </w:r>
      <w:r w:rsidRPr="00BD61E8">
        <w:tab/>
        <w:t>=</w:t>
      </w:r>
      <w:r w:rsidRPr="00BD61E8">
        <w:tab/>
      </w:r>
      <w:r>
        <w:t>second empirical constant in the model</w:t>
      </w:r>
    </w:p>
    <w:p w14:paraId="2DA4F9C5" w14:textId="77777777" w:rsidR="001E2378" w:rsidRDefault="001E2378" w:rsidP="003B7030">
      <w:pPr>
        <w:widowControl w:val="0"/>
        <w:tabs>
          <w:tab w:val="left" w:pos="540"/>
          <w:tab w:val="left" w:pos="990"/>
        </w:tabs>
        <w:spacing w:line="276" w:lineRule="auto"/>
      </w:pPr>
      <w:r>
        <w:rPr>
          <w:i/>
          <w:iCs/>
        </w:rPr>
        <w:t>i</w:t>
      </w:r>
      <w:r>
        <w:tab/>
        <w:t>=</w:t>
      </w:r>
      <w:r>
        <w:tab/>
        <w:t>time-like index</w:t>
      </w:r>
    </w:p>
    <w:p w14:paraId="3383FC56" w14:textId="5F088538" w:rsidR="001E2378" w:rsidRPr="001E2378" w:rsidRDefault="001E2378" w:rsidP="003B7030">
      <w:pPr>
        <w:widowControl w:val="0"/>
        <w:tabs>
          <w:tab w:val="left" w:pos="540"/>
          <w:tab w:val="left" w:pos="990"/>
        </w:tabs>
        <w:spacing w:line="276" w:lineRule="auto"/>
      </w:pPr>
      <w:r>
        <w:rPr>
          <w:i/>
          <w:iCs/>
        </w:rPr>
        <w:t>j</w:t>
      </w:r>
      <w:r>
        <w:tab/>
        <w:t>=</w:t>
      </w:r>
      <w:r>
        <w:tab/>
        <w:t xml:space="preserve">space-like index </w:t>
      </w:r>
    </w:p>
    <w:p w14:paraId="39F0C2E8" w14:textId="07F7A19B" w:rsidR="003B7030" w:rsidRPr="003B7030" w:rsidRDefault="003B7030" w:rsidP="003B7030">
      <w:pPr>
        <w:widowControl w:val="0"/>
        <w:tabs>
          <w:tab w:val="left" w:pos="540"/>
          <w:tab w:val="left" w:pos="990"/>
        </w:tabs>
        <w:spacing w:line="276" w:lineRule="auto"/>
      </w:pPr>
      <w:r>
        <w:rPr>
          <w:i/>
          <w:iCs/>
        </w:rPr>
        <w:t>r</w:t>
      </w:r>
      <w:r>
        <w:tab/>
        <w:t>=</w:t>
      </w:r>
      <w:r>
        <w:tab/>
        <w:t>radial coordinate</w:t>
      </w:r>
    </w:p>
    <w:p w14:paraId="421C3D95" w14:textId="77777777" w:rsidR="00493201" w:rsidRDefault="00493201" w:rsidP="003B7030">
      <w:pPr>
        <w:widowControl w:val="0"/>
        <w:tabs>
          <w:tab w:val="left" w:pos="540"/>
          <w:tab w:val="left" w:pos="990"/>
        </w:tabs>
        <w:spacing w:line="276" w:lineRule="auto"/>
      </w:pPr>
      <w:r w:rsidRPr="00B91345">
        <w:rPr>
          <w:i/>
          <w:iCs/>
        </w:rPr>
        <w:t>t</w:t>
      </w:r>
      <w:r>
        <w:tab/>
        <w:t>=</w:t>
      </w:r>
      <w:r>
        <w:tab/>
        <w:t>time</w:t>
      </w:r>
    </w:p>
    <w:p w14:paraId="51571D99" w14:textId="2EFEFD33" w:rsidR="00B91345" w:rsidRPr="00B91345" w:rsidRDefault="00B91345" w:rsidP="003B7030">
      <w:pPr>
        <w:widowControl w:val="0"/>
        <w:tabs>
          <w:tab w:val="left" w:pos="540"/>
          <w:tab w:val="left" w:pos="990"/>
        </w:tabs>
        <w:spacing w:line="276" w:lineRule="auto"/>
      </w:pPr>
      <w:r>
        <w:rPr>
          <w:i/>
          <w:iCs/>
        </w:rPr>
        <w:t>u</w:t>
      </w:r>
      <w:r>
        <w:tab/>
        <w:t>=</w:t>
      </w:r>
      <w:r>
        <w:tab/>
        <w:t xml:space="preserve">mean velocity in </w:t>
      </w:r>
      <w:r>
        <w:rPr>
          <w:i/>
          <w:iCs/>
        </w:rPr>
        <w:t>x</w:t>
      </w:r>
      <w:r>
        <w:t xml:space="preserve"> direction</w:t>
      </w:r>
    </w:p>
    <w:p w14:paraId="50734AE7" w14:textId="113342A2" w:rsidR="00493201" w:rsidRDefault="00493201" w:rsidP="003B7030">
      <w:pPr>
        <w:widowControl w:val="0"/>
        <w:tabs>
          <w:tab w:val="left" w:pos="540"/>
          <w:tab w:val="left" w:pos="990"/>
        </w:tabs>
        <w:spacing w:line="276" w:lineRule="auto"/>
      </w:pPr>
      <w:r w:rsidRPr="00B91345">
        <w:rPr>
          <w:i/>
          <w:iCs/>
        </w:rPr>
        <w:t>u</w:t>
      </w:r>
      <w:r w:rsidRPr="00B91345">
        <w:rPr>
          <w:i/>
          <w:iCs/>
          <w:vertAlign w:val="subscript"/>
        </w:rPr>
        <w:t>j</w:t>
      </w:r>
      <w:r>
        <w:tab/>
        <w:t>=</w:t>
      </w:r>
      <w:r>
        <w:tab/>
      </w:r>
      <w:r w:rsidR="00B91345">
        <w:t>mean</w:t>
      </w:r>
      <w:r>
        <w:t xml:space="preserve"> velocity components</w:t>
      </w:r>
    </w:p>
    <w:p w14:paraId="00907D19" w14:textId="3758B48C" w:rsidR="003B7030" w:rsidRPr="003B7030" w:rsidRDefault="003B7030" w:rsidP="003B7030">
      <w:pPr>
        <w:widowControl w:val="0"/>
        <w:tabs>
          <w:tab w:val="left" w:pos="540"/>
          <w:tab w:val="left" w:pos="990"/>
        </w:tabs>
        <w:spacing w:line="276" w:lineRule="auto"/>
      </w:pPr>
      <w:r>
        <w:rPr>
          <w:i/>
          <w:iCs/>
        </w:rPr>
        <w:t>u</w:t>
      </w:r>
      <w:r>
        <w:rPr>
          <w:i/>
          <w:iCs/>
          <w:vertAlign w:val="subscript"/>
        </w:rPr>
        <w:t>θ</w:t>
      </w:r>
      <w:r>
        <w:rPr>
          <w:i/>
          <w:iCs/>
        </w:rPr>
        <w:tab/>
      </w:r>
      <w:r w:rsidRPr="003B7030">
        <w:t>=</w:t>
      </w:r>
      <w:r>
        <w:rPr>
          <w:i/>
          <w:iCs/>
        </w:rPr>
        <w:tab/>
      </w:r>
      <w:r>
        <w:t>tangential velocity</w:t>
      </w:r>
    </w:p>
    <w:p w14:paraId="3432D004" w14:textId="34A37F8E" w:rsidR="00B91345" w:rsidRPr="00B91345" w:rsidRDefault="00B91345" w:rsidP="003B7030">
      <w:pPr>
        <w:widowControl w:val="0"/>
        <w:tabs>
          <w:tab w:val="left" w:pos="540"/>
          <w:tab w:val="left" w:pos="990"/>
        </w:tabs>
        <w:spacing w:line="276" w:lineRule="auto"/>
      </w:pPr>
      <w:r>
        <w:rPr>
          <w:i/>
          <w:iCs/>
        </w:rPr>
        <w:t>x</w:t>
      </w:r>
      <w:r>
        <w:rPr>
          <w:i/>
          <w:iCs/>
        </w:rPr>
        <w:tab/>
      </w:r>
      <w:r>
        <w:t>=</w:t>
      </w:r>
      <w:r>
        <w:tab/>
        <w:t>streamwise coordinate</w:t>
      </w:r>
    </w:p>
    <w:p w14:paraId="720D6E96" w14:textId="77777777" w:rsidR="00493201" w:rsidRDefault="00493201" w:rsidP="003B7030">
      <w:pPr>
        <w:widowControl w:val="0"/>
        <w:tabs>
          <w:tab w:val="left" w:pos="540"/>
          <w:tab w:val="left" w:pos="990"/>
        </w:tabs>
        <w:spacing w:line="276" w:lineRule="auto"/>
      </w:pPr>
      <w:r w:rsidRPr="00B91345">
        <w:rPr>
          <w:i/>
          <w:iCs/>
        </w:rPr>
        <w:t>x</w:t>
      </w:r>
      <w:r w:rsidRPr="00B91345">
        <w:rPr>
          <w:i/>
          <w:iCs/>
          <w:vertAlign w:val="subscript"/>
        </w:rPr>
        <w:t>j</w:t>
      </w:r>
      <w:r>
        <w:rPr>
          <w:vertAlign w:val="subscript"/>
        </w:rPr>
        <w:tab/>
      </w:r>
      <w:r>
        <w:t>=</w:t>
      </w:r>
      <w:r>
        <w:tab/>
        <w:t>Cartesian coordinates</w:t>
      </w:r>
    </w:p>
    <w:p w14:paraId="0879A37D" w14:textId="22DDD8F2" w:rsidR="00B91345" w:rsidRDefault="00B91345" w:rsidP="003B7030">
      <w:pPr>
        <w:widowControl w:val="0"/>
        <w:tabs>
          <w:tab w:val="left" w:pos="540"/>
          <w:tab w:val="left" w:pos="990"/>
        </w:tabs>
        <w:spacing w:line="276" w:lineRule="auto"/>
      </w:pPr>
      <w:r w:rsidRPr="00B91345">
        <w:rPr>
          <w:i/>
          <w:iCs/>
        </w:rPr>
        <w:t>y</w:t>
      </w:r>
      <w:r>
        <w:tab/>
        <w:t>=</w:t>
      </w:r>
      <w:r>
        <w:tab/>
        <w:t>coordinate normal to streamwise direction</w:t>
      </w:r>
    </w:p>
    <w:p w14:paraId="4784BD55" w14:textId="2288E562" w:rsidR="00583689" w:rsidRPr="00583689" w:rsidRDefault="00493201" w:rsidP="003B7030">
      <w:pPr>
        <w:widowControl w:val="0"/>
        <w:tabs>
          <w:tab w:val="left" w:pos="540"/>
          <w:tab w:val="left" w:pos="990"/>
        </w:tabs>
        <w:spacing w:line="276" w:lineRule="auto"/>
      </w:pPr>
      <w:r w:rsidRPr="00B91345">
        <w:rPr>
          <w:i/>
          <w:iCs/>
        </w:rPr>
        <w:t>ν</w:t>
      </w:r>
      <w:r w:rsidRPr="00B91345">
        <w:rPr>
          <w:i/>
          <w:iCs/>
          <w:vertAlign w:val="subscript"/>
        </w:rPr>
        <w:t>t</w:t>
      </w:r>
      <w:r>
        <w:tab/>
        <w:t>=</w:t>
      </w:r>
      <w:r>
        <w:tab/>
        <w:t>eddy viscosity</w:t>
      </w:r>
    </w:p>
    <w:p w14:paraId="14BCB865" w14:textId="54A5DADD" w:rsidR="00B91345" w:rsidRPr="00B91345" w:rsidRDefault="00B91345" w:rsidP="003B7030">
      <w:pPr>
        <w:widowControl w:val="0"/>
        <w:tabs>
          <w:tab w:val="left" w:pos="540"/>
          <w:tab w:val="left" w:pos="990"/>
        </w:tabs>
        <w:spacing w:line="276" w:lineRule="auto"/>
      </w:pPr>
      <w:r>
        <w:rPr>
          <w:i/>
          <w:iCs/>
        </w:rPr>
        <w:t>ω</w:t>
      </w:r>
      <w:r>
        <w:tab/>
        <w:t>=</w:t>
      </w:r>
      <w:r>
        <w:tab/>
        <w:t>vorticity</w:t>
      </w:r>
    </w:p>
    <w:p w14:paraId="3FC93DCD" w14:textId="77777777" w:rsidR="00493201" w:rsidRPr="00F55FDF" w:rsidRDefault="00493201" w:rsidP="003B7030">
      <w:pPr>
        <w:widowControl w:val="0"/>
        <w:tabs>
          <w:tab w:val="left" w:pos="540"/>
          <w:tab w:val="left" w:pos="990"/>
        </w:tabs>
        <w:spacing w:line="276" w:lineRule="auto"/>
      </w:pPr>
      <w:r w:rsidRPr="00B91345">
        <w:rPr>
          <w:i/>
          <w:iCs/>
        </w:rPr>
        <w:t>σ</w:t>
      </w:r>
      <w:r>
        <w:tab/>
        <w:t>=</w:t>
      </w:r>
      <w:r>
        <w:tab/>
        <w:t>turbulent Prandtl number</w:t>
      </w:r>
    </w:p>
    <w:p w14:paraId="0A427060" w14:textId="77777777" w:rsidR="00AE1536" w:rsidRPr="00E31146" w:rsidRDefault="00AE1536" w:rsidP="00493201">
      <w:pPr>
        <w:pStyle w:val="Nomenclature"/>
        <w:tabs>
          <w:tab w:val="clear" w:pos="864"/>
          <w:tab w:val="clear" w:pos="1152"/>
          <w:tab w:val="left" w:pos="540"/>
          <w:tab w:val="left" w:pos="990"/>
        </w:tabs>
      </w:pPr>
    </w:p>
    <w:p w14:paraId="31DDC53B" w14:textId="77777777" w:rsidR="004E15B0" w:rsidRPr="00E31146" w:rsidRDefault="00371D61" w:rsidP="00493201">
      <w:pPr>
        <w:pStyle w:val="Heading1"/>
      </w:pPr>
      <w:r>
        <w:t xml:space="preserve"> </w:t>
      </w:r>
      <w:r w:rsidR="004E15B0" w:rsidRPr="00E31146">
        <w:t>Introduction</w:t>
      </w:r>
    </w:p>
    <w:p w14:paraId="3C34B212" w14:textId="45315AA2" w:rsidR="004E15B0" w:rsidRPr="00E31146" w:rsidRDefault="00493201" w:rsidP="00493201">
      <w:pPr>
        <w:pStyle w:val="Text"/>
        <w:spacing w:line="240" w:lineRule="auto"/>
      </w:pPr>
      <w:r w:rsidRPr="00493201">
        <w:rPr>
          <w:color w:val="000000"/>
          <w:sz w:val="58"/>
          <w:szCs w:val="58"/>
        </w:rPr>
        <w:t>T</w:t>
      </w:r>
      <w:r w:rsidRPr="00493201">
        <w:rPr>
          <w:color w:val="000000"/>
        </w:rPr>
        <w:t xml:space="preserve">HE Spalart-Allmaras (SA) eddy-viscosity model (EVM) was first introduced by Spalart and Allmaras [1] in 1994 as a one-equation EVM to further improve the accuracy of turbulence modeling over algebraic models while being computationally cheaper than the k-ω and k-ε two-equation models which had been developed in the 70s and 80s. Since its original publication, the SA model has grown to become one of, if not the most widely used turbulence models in computation fluid dynamics due to its balance of accuracy and computational cost. As a means of better </w:t>
      </w:r>
      <w:r w:rsidRPr="00493201">
        <w:t>understanding the SA model this paper attempts to recreate and validate the results of the original paper using MATLAB. Three different one-dimensional flow cases were solved; a planar mixing layer, a planar wake, and a mature vortex from Spalart and Garbaruk [2]</w:t>
      </w:r>
      <w:r w:rsidR="004E15B0" w:rsidRPr="00E31146">
        <w:t>.</w:t>
      </w:r>
    </w:p>
    <w:p w14:paraId="4CA03FC8" w14:textId="48D190EF" w:rsidR="004E15B0" w:rsidRPr="00E31146" w:rsidRDefault="00371D61" w:rsidP="00493201">
      <w:pPr>
        <w:pStyle w:val="Heading1"/>
      </w:pPr>
      <w:r>
        <w:t xml:space="preserve"> </w:t>
      </w:r>
      <w:r w:rsidR="00493201">
        <w:t>Governing Equations</w:t>
      </w:r>
    </w:p>
    <w:p w14:paraId="5C4E1DAE" w14:textId="08A6E281" w:rsidR="00493201" w:rsidRPr="00493201" w:rsidRDefault="00493201" w:rsidP="00493201">
      <w:pPr>
        <w:pStyle w:val="Text"/>
        <w:spacing w:afterAutospacing="1" w:line="240" w:lineRule="auto"/>
        <w:rPr>
          <w:color w:val="000000"/>
        </w:rPr>
      </w:pPr>
      <w:r w:rsidRPr="00493201">
        <w:rPr>
          <w:color w:val="000000"/>
        </w:rPr>
        <w:t>To solve the</w:t>
      </w:r>
      <w:r w:rsidR="0099238D">
        <w:rPr>
          <w:color w:val="000000"/>
        </w:rPr>
        <w:t>se three cases</w:t>
      </w:r>
      <w:r w:rsidRPr="00493201">
        <w:rPr>
          <w:color w:val="000000"/>
        </w:rPr>
        <w:t>, the high-Reynolds number version of the SA model was utilized which takes the following form</w:t>
      </w:r>
    </w:p>
    <w:p w14:paraId="1E9BBDCE" w14:textId="77777777" w:rsidR="00493201" w:rsidRPr="00493201" w:rsidRDefault="00493201" w:rsidP="00493201">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j</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j</m:t>
                          </m:r>
                        </m:sub>
                      </m:sSub>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1</m:t>
                  </m:r>
                </m:e>
              </m:d>
            </m:e>
          </m:eqArr>
        </m:oMath>
      </m:oMathPara>
    </w:p>
    <w:p w14:paraId="04697AB3" w14:textId="1B8BE6B0" w:rsidR="00493201" w:rsidRDefault="0099238D" w:rsidP="00D91127">
      <w:pPr>
        <w:pStyle w:val="Text"/>
        <w:spacing w:afterAutospacing="1" w:line="240" w:lineRule="auto"/>
        <w:ind w:firstLine="0"/>
        <w:jc w:val="left"/>
        <w:rPr>
          <w:color w:val="000000" w:themeColor="text1"/>
        </w:rPr>
      </w:pPr>
      <w:r>
        <w:rPr>
          <w:color w:val="000000" w:themeColor="text1"/>
        </w:rPr>
        <w:t>For</w:t>
      </w:r>
      <w:r w:rsidR="00D973B5">
        <w:rPr>
          <w:color w:val="000000" w:themeColor="text1"/>
        </w:rPr>
        <w:t xml:space="preserve"> the two planar cases, equation (1) is can be simplified to </w:t>
      </w:r>
    </w:p>
    <w:p w14:paraId="0A55EDB7" w14:textId="50AA8508" w:rsidR="00D973B5" w:rsidRPr="00882A14" w:rsidRDefault="00D973B5"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m:t>
                      </m:r>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r>
                            <w:rPr>
                              <w:rFonts w:ascii="Cambria Math" w:hAnsi="Cambria Math"/>
                              <w:color w:val="000000" w:themeColor="text1"/>
                            </w:rPr>
                            <m:t>y</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r>
                        <w:rPr>
                          <w:rFonts w:ascii="Cambria Math" w:hAnsi="Cambria Math"/>
                          <w:color w:val="000000" w:themeColor="text1"/>
                        </w:rPr>
                        <m:t>y</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r>
                        <w:rPr>
                          <w:rFonts w:ascii="Cambria Math" w:hAnsi="Cambria Math"/>
                          <w:color w:val="000000" w:themeColor="text1"/>
                        </w:rPr>
                        <m:t>y</m:t>
                      </m:r>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2</m:t>
                  </m:r>
                </m:e>
              </m:d>
            </m:e>
          </m:eqArr>
        </m:oMath>
      </m:oMathPara>
    </w:p>
    <w:p w14:paraId="1FADE180" w14:textId="54B13F8E" w:rsidR="00D973B5" w:rsidRDefault="00D973B5" w:rsidP="00D91127">
      <w:pPr>
        <w:pStyle w:val="Text"/>
        <w:spacing w:afterAutospacing="1" w:line="240" w:lineRule="auto"/>
        <w:ind w:firstLine="0"/>
        <w:jc w:val="left"/>
        <w:rPr>
          <w:color w:val="000000" w:themeColor="text1"/>
        </w:rPr>
      </w:pPr>
      <w:r>
        <w:rPr>
          <w:color w:val="000000" w:themeColor="text1"/>
        </w:rPr>
        <w:t>which can then be combined with the following two equations</w:t>
      </w:r>
    </w:p>
    <w:p w14:paraId="30FA9715" w14:textId="18E27A47" w:rsidR="00D973B5" w:rsidRPr="00D973B5" w:rsidRDefault="00D973B5"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3</m:t>
                  </m:r>
                </m:e>
              </m:d>
            </m:e>
          </m:eqArr>
        </m:oMath>
      </m:oMathPara>
    </w:p>
    <w:p w14:paraId="6885E2A0" w14:textId="77714551" w:rsidR="00D973B5" w:rsidRPr="00D973B5" w:rsidRDefault="00D973B5" w:rsidP="00D973B5">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ω= -</m:t>
              </m:r>
              <m:f>
                <m:fPr>
                  <m:ctrlPr>
                    <w:rPr>
                      <w:rFonts w:ascii="Cambria Math" w:hAns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∂y</m:t>
                  </m:r>
                </m:den>
              </m:f>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4</m:t>
                  </m:r>
                </m:e>
              </m:d>
            </m:e>
          </m:eqArr>
        </m:oMath>
      </m:oMathPara>
    </w:p>
    <w:p w14:paraId="5EF5F9D9" w14:textId="33FBD41E" w:rsidR="00D973B5" w:rsidRDefault="00D973B5" w:rsidP="00D91127">
      <w:pPr>
        <w:pStyle w:val="Text"/>
        <w:spacing w:afterAutospacing="1" w:line="240" w:lineRule="auto"/>
        <w:ind w:firstLine="0"/>
        <w:jc w:val="left"/>
        <w:rPr>
          <w:color w:val="000000" w:themeColor="text1"/>
        </w:rPr>
      </w:pPr>
      <w:r>
        <w:rPr>
          <w:color w:val="000000" w:themeColor="text1"/>
        </w:rPr>
        <w:t xml:space="preserve">to fully define the dynamics of this problem. The axisymmetric case has a similar set of governing equations, but has been modified due to the </w:t>
      </w:r>
      <w:r w:rsidR="00B91345">
        <w:rPr>
          <w:color w:val="000000" w:themeColor="text1"/>
        </w:rPr>
        <w:t>rotational nature of the problem to the following</w:t>
      </w:r>
    </w:p>
    <w:p w14:paraId="6C7E67EC" w14:textId="5C6B0FC7" w:rsidR="00B91345" w:rsidRPr="00D91127" w:rsidRDefault="00D91127" w:rsidP="00D973B5">
      <w:pPr>
        <w:pStyle w:val="Text"/>
        <w:spacing w:afterAutospacing="1" w:line="240" w:lineRule="auto"/>
        <w:jc w:val="left"/>
        <w:rPr>
          <w:color w:val="000000" w:themeColor="text1"/>
        </w:rPr>
      </w:pPr>
      <m:oMathPara>
        <m:oMath>
          <m:eqArr>
            <m:eqArrPr>
              <m:maxDist m:val="1"/>
              <m:ctrlPr>
                <w:rPr>
                  <w:rFonts w:ascii="Cambria Math" w:hAnsi="Cambria Math"/>
                  <w:i/>
                  <w:color w:val="000000" w:themeColor="text1"/>
                </w:rPr>
              </m:ctrlPr>
            </m:eqArr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∂t</m:t>
                  </m:r>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d>
                    <m:dPr>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e>
                  </m:d>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5</m:t>
                  </m:r>
                </m:e>
              </m:d>
            </m:e>
          </m:eqArr>
        </m:oMath>
      </m:oMathPara>
    </w:p>
    <w:p w14:paraId="65EDCA8F" w14:textId="34029D9B" w:rsidR="00D91127" w:rsidRPr="00D91127" w:rsidRDefault="00D91127" w:rsidP="00D91127">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∂r</m:t>
                      </m:r>
                    </m:den>
                  </m:f>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e>
              </m:d>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6</m:t>
                  </m:r>
                </m:e>
              </m:d>
            </m:e>
          </m:eqArr>
        </m:oMath>
      </m:oMathPara>
    </w:p>
    <w:p w14:paraId="352E9F81" w14:textId="14654DA2" w:rsidR="00D91127" w:rsidRPr="00D973B5" w:rsidRDefault="00D91127" w:rsidP="00D91127">
      <w:pPr>
        <w:pStyle w:val="Text"/>
        <w:spacing w:afterAutospacing="1" w:line="240" w:lineRule="auto"/>
        <w:jc w:val="center"/>
        <w:rPr>
          <w:color w:val="000000" w:themeColor="text1"/>
        </w:rPr>
      </w:pPr>
      <m:oMathPara>
        <m:oMath>
          <m:eqArr>
            <m:eqArrPr>
              <m:maxDist m:val="1"/>
              <m:ctrlPr>
                <w:rPr>
                  <w:rFonts w:ascii="Cambria Math" w:hAnsi="Cambria Math"/>
                  <w:i/>
                  <w:color w:val="000000" w:themeColor="text1"/>
                </w:rPr>
              </m:ctrlPr>
            </m:eqArrPr>
            <m:e>
              <m:r>
                <w:rPr>
                  <w:rFonts w:ascii="Cambria Math" w:hAnsi="Cambria Math"/>
                  <w:color w:val="000000" w:themeColor="text1"/>
                </w:rPr>
                <m:t>ω=</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m:t>
                  </m:r>
                  <m:r>
                    <w:rPr>
                      <w:rFonts w:ascii="Cambria Math" w:hAnsi="Cambria Math"/>
                      <w:color w:val="000000" w:themeColor="text1"/>
                    </w:rPr>
                    <m:t>r</m:t>
                  </m:r>
                </m:den>
              </m:f>
              <m:d>
                <m:dPr>
                  <m:ctrlPr>
                    <w:rPr>
                      <w:rFonts w:ascii="Cambria Math" w:hAnsi="Cambria Math"/>
                      <w:i/>
                      <w:color w:val="000000" w:themeColor="text1"/>
                    </w:rPr>
                  </m:ctrlPr>
                </m:dPr>
                <m:e>
                  <m:r>
                    <w:rPr>
                      <w:rFonts w:ascii="Cambria Math" w:hAnsi="Cambria Math"/>
                      <w:color w:val="000000" w:themeColor="text1"/>
                    </w:rPr>
                    <m:t>r</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7</m:t>
                  </m:r>
                </m:e>
              </m:d>
            </m:e>
          </m:eqArr>
        </m:oMath>
      </m:oMathPara>
    </w:p>
    <w:p w14:paraId="3BD57992" w14:textId="79532F1D" w:rsidR="00493201" w:rsidRDefault="00D91127" w:rsidP="00D91127">
      <w:pPr>
        <w:pStyle w:val="Text"/>
        <w:spacing w:afterAutospacing="1" w:line="240" w:lineRule="auto"/>
        <w:ind w:firstLine="0"/>
        <w:jc w:val="left"/>
        <w:rPr>
          <w:color w:val="000000"/>
        </w:rPr>
      </w:pPr>
      <w:r>
        <w:rPr>
          <w:color w:val="000000"/>
        </w:rPr>
        <w:tab/>
        <w:t>While equations (2)-(7) are perfectly adequate</w:t>
      </w:r>
      <w:r w:rsidR="002163DD">
        <w:rPr>
          <w:color w:val="000000"/>
        </w:rPr>
        <w:t>, some rearrangements can be made to make</w:t>
      </w:r>
      <w:r w:rsidR="003B7030">
        <w:rPr>
          <w:color w:val="000000"/>
        </w:rPr>
        <w:t xml:space="preserve"> the discrete forms more agreeable. The most extensive change is to equations (2) and (6) wh</w:t>
      </w:r>
      <w:r w:rsidR="000B3716">
        <w:rPr>
          <w:color w:val="000000"/>
        </w:rPr>
        <w:t>ich can be made into the equivalent forms</w:t>
      </w:r>
    </w:p>
    <w:p w14:paraId="0A13B047" w14:textId="305E3D88" w:rsidR="000B3716" w:rsidRPr="000B3716" w:rsidRDefault="000B3716"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e>
                  </m:d>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∂y</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∂y</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2</m:t>
                          </m:r>
                        </m:sup>
                      </m:sSup>
                    </m:den>
                  </m:f>
                </m:e>
              </m:d>
              <m:r>
                <w:rPr>
                  <w:rFonts w:ascii="Cambria Math" w:hAnsi="Cambria Math"/>
                  <w:color w:val="000000" w:themeColor="text1"/>
                </w:rPr>
                <m:t xml:space="preserve"> #</m:t>
              </m:r>
              <m:d>
                <m:dPr>
                  <m:ctrlPr>
                    <w:rPr>
                      <w:rFonts w:ascii="Cambria Math" w:hAnsi="Cambria Math"/>
                      <w:i/>
                      <w:color w:val="000000" w:themeColor="text1"/>
                    </w:rPr>
                  </m:ctrlPr>
                </m:dPr>
                <m:e>
                  <m:r>
                    <w:rPr>
                      <w:rFonts w:ascii="Cambria Math" w:hAnsi="Cambria Math"/>
                      <w:color w:val="000000" w:themeColor="text1"/>
                    </w:rPr>
                    <m:t>8</m:t>
                  </m:r>
                </m:e>
              </m:d>
            </m:e>
          </m:eqArr>
        </m:oMath>
      </m:oMathPara>
    </w:p>
    <w:p w14:paraId="3F4FB194" w14:textId="096D0409" w:rsidR="000B3716" w:rsidRPr="000B3716" w:rsidRDefault="000B3716"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themeColor="text1"/>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∂t</m:t>
                  </m:r>
                </m:den>
              </m:f>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b1</m:t>
                  </m:r>
                </m:sub>
              </m:sSub>
              <m:d>
                <m:dPr>
                  <m:begChr m:val="|"/>
                  <m:endChr m:val="|"/>
                  <m:ctrlPr>
                    <w:rPr>
                      <w:rFonts w:ascii="Cambria Math" w:hAnsi="Cambria Math"/>
                      <w:i/>
                      <w:color w:val="000000" w:themeColor="text1"/>
                    </w:rPr>
                  </m:ctrlPr>
                </m:dPr>
                <m:e>
                  <m:r>
                    <w:rPr>
                      <w:rFonts w:ascii="Cambria Math" w:hAnsi="Cambria Math"/>
                      <w:color w:val="000000" w:themeColor="text1"/>
                    </w:rPr>
                    <m:t>ω</m:t>
                  </m:r>
                </m:e>
              </m:d>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σ</m:t>
                  </m:r>
                </m:den>
              </m:f>
              <m:d>
                <m:dPr>
                  <m:begChr m:val="["/>
                  <m:endChr m:val="]"/>
                  <m:ctrlPr>
                    <w:rPr>
                      <w:rFonts w:ascii="Cambria Math" w:hAnsi="Cambria Math"/>
                      <w:i/>
                      <w:color w:val="000000" w:themeColor="text1"/>
                    </w:rPr>
                  </m:ctrlPr>
                </m:dPr>
                <m:e>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∂r</m:t>
                      </m:r>
                    </m:den>
                  </m:f>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1+</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e>
                  </m:d>
                  <m:f>
                    <m:fPr>
                      <m:ctrlPr>
                        <w:rPr>
                          <w:rFonts w:ascii="Cambria Math" w:hAnsi="Cambria Math"/>
                          <w:i/>
                          <w:color w:val="000000" w:themeColor="text1"/>
                        </w:rPr>
                      </m:ctrlPr>
                    </m:fPr>
                    <m:num>
                      <m:r>
                        <w:rPr>
                          <w:rFonts w:ascii="Cambria Math" w:hAnsi="Cambria Math"/>
                          <w:color w:val="000000" w:themeColor="text1"/>
                        </w:rPr>
                        <m:t>∂</m:t>
                      </m:r>
                    </m:num>
                    <m:den>
                      <m:r>
                        <w:rPr>
                          <w:rFonts w:ascii="Cambria Math" w:hAnsi="Cambria Math"/>
                          <w:color w:val="000000" w:themeColor="text1"/>
                        </w:rPr>
                        <m:t>∂</m:t>
                      </m:r>
                      <m:r>
                        <w:rPr>
                          <w:rFonts w:ascii="Cambria Math" w:hAnsi="Cambria Math"/>
                          <w:color w:val="000000" w:themeColor="text1"/>
                        </w:rPr>
                        <m:t>r</m:t>
                      </m:r>
                    </m:den>
                  </m:f>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r>
                            <w:rPr>
                              <w:rFonts w:ascii="Cambria Math" w:hAnsi="Cambria Math"/>
                              <w:color w:val="000000" w:themeColor="text1"/>
                            </w:rPr>
                            <m:t>r</m:t>
                          </m:r>
                        </m:den>
                      </m:f>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b2</m:t>
                      </m:r>
                    </m:sub>
                  </m:sSub>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f>
                    <m:fPr>
                      <m:ctrlPr>
                        <w:rPr>
                          <w:rFonts w:ascii="Cambria Math"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m:t>
                          </m:r>
                        </m:e>
                        <m:sup>
                          <m:r>
                            <w:rPr>
                              <w:rFonts w:ascii="Cambria Math" w:hAnsi="Cambria Math"/>
                              <w:color w:val="000000" w:themeColor="text1"/>
                            </w:rPr>
                            <m:t>2</m:t>
                          </m:r>
                        </m:sup>
                      </m:sSup>
                      <m:sSub>
                        <m:sSubPr>
                          <m:ctrlPr>
                            <w:rPr>
                              <w:rFonts w:ascii="Cambria Math" w:hAnsi="Cambria Math"/>
                              <w:i/>
                              <w:color w:val="000000" w:themeColor="text1"/>
                            </w:rPr>
                          </m:ctrlPr>
                        </m:sSubPr>
                        <m:e>
                          <m:r>
                            <w:rPr>
                              <w:rFonts w:ascii="Cambria Math" w:hAnsi="Cambria Math"/>
                              <w:color w:val="000000" w:themeColor="text1"/>
                            </w:rPr>
                            <m:t>ν</m:t>
                          </m:r>
                        </m:e>
                        <m:sub>
                          <m:r>
                            <w:rPr>
                              <w:rFonts w:ascii="Cambria Math" w:hAnsi="Cambria Math"/>
                              <w:color w:val="000000" w:themeColor="text1"/>
                            </w:rPr>
                            <m:t>t</m:t>
                          </m:r>
                        </m:sub>
                      </m:sSub>
                    </m:num>
                    <m:den>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den>
                  </m:f>
                </m:e>
              </m:d>
              <m:r>
                <w:rPr>
                  <w:rFonts w:ascii="Cambria Math" w:hAnsi="Cambria Math"/>
                  <w:color w:val="000000" w:themeColor="text1"/>
                </w:rPr>
                <m:t xml:space="preserve"> </m:t>
              </m:r>
              <m:r>
                <w:rPr>
                  <w:rFonts w:ascii="Cambria Math" w:hAns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9</m:t>
                  </m:r>
                </m:e>
              </m:d>
            </m:e>
          </m:eqArr>
        </m:oMath>
      </m:oMathPara>
    </w:p>
    <w:p w14:paraId="752B6CB7" w14:textId="59F884F3" w:rsidR="000B3716" w:rsidRDefault="000B3716" w:rsidP="000B3716">
      <w:pPr>
        <w:pStyle w:val="Text"/>
        <w:spacing w:afterAutospacing="1" w:line="240" w:lineRule="auto"/>
        <w:ind w:firstLine="0"/>
        <w:jc w:val="left"/>
        <w:rPr>
          <w:color w:val="000000"/>
        </w:rPr>
      </w:pPr>
      <w:r>
        <w:rPr>
          <w:color w:val="000000"/>
        </w:rPr>
        <w:t>with a less major change being made to equation (5)</w:t>
      </w:r>
    </w:p>
    <w:p w14:paraId="6782B2F9" w14:textId="0F39D5F8" w:rsidR="000B3716" w:rsidRPr="00746300" w:rsidRDefault="00746300" w:rsidP="000B3716">
      <w:pPr>
        <w:pStyle w:val="Text"/>
        <w:spacing w:afterAutospacing="1" w:line="240" w:lineRule="auto"/>
        <w:ind w:firstLine="0"/>
        <w:jc w:val="center"/>
        <w:rPr>
          <w:color w:val="000000" w:themeColor="text1"/>
        </w:rPr>
      </w:pPr>
      <m:oMathPara>
        <m:oMath>
          <m:eqArr>
            <m:eqArrPr>
              <m:maxDist m:val="1"/>
              <m:ctrlPr>
                <w:rPr>
                  <w:rFonts w:ascii="Cambria Math" w:hAnsi="Cambria Math"/>
                  <w:i/>
                  <w:color w:val="000000"/>
                </w:rPr>
              </m:ctrlPr>
            </m:eqArrPr>
            <m:e>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∂t</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den>
              </m:f>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m:t>
                      </m:r>
                    </m:num>
                    <m:den>
                      <m:r>
                        <w:rPr>
                          <w:rFonts w:ascii="Cambria Math" w:hAnsi="Cambria Math"/>
                          <w:color w:val="000000"/>
                        </w:rPr>
                        <m:t>∂r</m:t>
                      </m:r>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r</m:t>
                          </m:r>
                        </m:e>
                        <m:sup>
                          <m:r>
                            <w:rPr>
                              <w:rFonts w:ascii="Cambria Math" w:hAnsi="Cambria Math"/>
                              <w:color w:val="000000"/>
                            </w:rPr>
                            <m:t>2</m:t>
                          </m:r>
                        </m:sup>
                      </m:sSup>
                      <m:sSub>
                        <m:sSubPr>
                          <m:ctrlPr>
                            <w:rPr>
                              <w:rFonts w:ascii="Cambria Math" w:hAnsi="Cambria Math"/>
                              <w:i/>
                              <w:color w:val="000000"/>
                            </w:rPr>
                          </m:ctrlPr>
                        </m:sSubPr>
                        <m:e>
                          <m:r>
                            <w:rPr>
                              <w:rFonts w:ascii="Cambria Math" w:hAnsi="Cambria Math"/>
                              <w:color w:val="000000"/>
                            </w:rPr>
                            <m:t>ν</m:t>
                          </m:r>
                        </m:e>
                        <m:sub>
                          <m:r>
                            <w:rPr>
                              <w:rFonts w:ascii="Cambria Math" w:hAnsi="Cambria Math"/>
                              <w:color w:val="000000"/>
                            </w:rPr>
                            <m:t>t</m:t>
                          </m:r>
                        </m:sub>
                      </m:sSub>
                      <m:f>
                        <m:fPr>
                          <m:ctrlPr>
                            <w:rPr>
                              <w:rFonts w:ascii="Cambria Math" w:hAnsi="Cambria Math"/>
                              <w:i/>
                              <w:color w:val="000000" w:themeColor="text1"/>
                            </w:rPr>
                          </m:ctrlPr>
                        </m:fPr>
                        <m:num>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u</m:t>
                              </m:r>
                            </m:e>
                            <m:sub>
                              <m:r>
                                <w:rPr>
                                  <w:rFonts w:ascii="Cambria Math" w:hAnsi="Cambria Math"/>
                                  <w:color w:val="000000" w:themeColor="text1"/>
                                </w:rPr>
                                <m:t>θ</m:t>
                              </m:r>
                            </m:sub>
                          </m:sSub>
                        </m:num>
                        <m:den>
                          <m:r>
                            <w:rPr>
                              <w:rFonts w:ascii="Cambria Math" w:hAnsi="Cambria Math"/>
                              <w:color w:val="000000" w:themeColor="text1"/>
                            </w:rPr>
                            <m:t>∂r</m:t>
                          </m:r>
                        </m:den>
                      </m:f>
                      <m:ctrlPr>
                        <w:rPr>
                          <w:rFonts w:ascii="Cambria Math" w:hAnsi="Cambria Math"/>
                          <w:i/>
                          <w:color w:val="000000" w:themeColor="text1"/>
                        </w:rPr>
                      </m:ctrlPr>
                    </m:e>
                  </m:d>
                  <m:r>
                    <w:rPr>
                      <w:rFonts w:ascii="Cambria Math" w:hAnsi="Cambria Math"/>
                      <w:color w:val="000000" w:themeColor="text1"/>
                    </w:rPr>
                    <m:t>-</m:t>
                  </m:r>
                  <m:f>
                    <m:fPr>
                      <m:ctrlPr>
                        <w:rPr>
                          <w:rFonts w:ascii="Cambria Math" w:hAnsi="Cambria Math"/>
                          <w:i/>
                          <w:color w:val="000000"/>
                        </w:rPr>
                      </m:ctrlPr>
                    </m:fPr>
                    <m:num>
                      <m:r>
                        <w:rPr>
                          <w:rFonts w:ascii="Cambria Math" w:hAnsi="Cambria Math"/>
                          <w:color w:val="000000"/>
                        </w:rPr>
                        <m:t>∂</m:t>
                      </m:r>
                    </m:num>
                    <m:den>
                      <m:r>
                        <w:rPr>
                          <w:rFonts w:ascii="Cambria Math" w:hAnsi="Cambria Math"/>
                          <w:color w:val="000000"/>
                        </w:rPr>
                        <m:t>∂r</m:t>
                      </m:r>
                    </m:den>
                  </m:f>
                  <m:d>
                    <m:dPr>
                      <m:ctrlPr>
                        <w:rPr>
                          <w:rFonts w:ascii="Cambria Math" w:hAnsi="Cambria Math"/>
                          <w:i/>
                          <w:color w:val="000000"/>
                        </w:rPr>
                      </m:ctrlPr>
                    </m:dPr>
                    <m:e>
                      <m:r>
                        <w:rPr>
                          <w:rFonts w:ascii="Cambria Math" w:hAnsi="Cambria Math"/>
                          <w:color w:val="000000"/>
                        </w:rPr>
                        <m:t>r</m:t>
                      </m:r>
                      <m:sSub>
                        <m:sSubPr>
                          <m:ctrlPr>
                            <w:rPr>
                              <w:rFonts w:ascii="Cambria Math" w:hAnsi="Cambria Math"/>
                              <w:i/>
                              <w:color w:val="000000"/>
                            </w:rPr>
                          </m:ctrlPr>
                        </m:sSubPr>
                        <m:e>
                          <m:r>
                            <w:rPr>
                              <w:rFonts w:ascii="Cambria Math" w:hAnsi="Cambria Math"/>
                              <w:color w:val="000000"/>
                            </w:rPr>
                            <m:t>ν</m:t>
                          </m:r>
                        </m:e>
                        <m:sub>
                          <m:r>
                            <w:rPr>
                              <w:rFonts w:ascii="Cambria Math" w:hAnsi="Cambria Math"/>
                              <w:color w:val="000000"/>
                            </w:rPr>
                            <m:t>t</m:t>
                          </m:r>
                        </m:sub>
                      </m:sSub>
                      <m:sSub>
                        <m:sSubPr>
                          <m:ctrlPr>
                            <w:rPr>
                              <w:rFonts w:ascii="Cambria Math" w:hAnsi="Cambria Math"/>
                              <w:i/>
                              <w:color w:val="000000"/>
                            </w:rPr>
                          </m:ctrlPr>
                        </m:sSubPr>
                        <m:e>
                          <m:r>
                            <w:rPr>
                              <w:rFonts w:ascii="Cambria Math" w:hAnsi="Cambria Math"/>
                              <w:color w:val="000000"/>
                            </w:rPr>
                            <m:t>u</m:t>
                          </m:r>
                        </m:e>
                        <m:sub>
                          <m:r>
                            <w:rPr>
                              <w:rFonts w:ascii="Cambria Math" w:hAnsi="Cambria Math"/>
                              <w:color w:val="000000"/>
                            </w:rPr>
                            <m:t>θ</m:t>
                          </m:r>
                        </m:sub>
                      </m:sSub>
                    </m:e>
                  </m:d>
                </m:e>
              </m:d>
              <m:r>
                <w:rPr>
                  <w:rFonts w:ascii="Cambria Math" w:hAnsi="Cambria Math"/>
                  <w:color w:val="000000" w:themeColor="text1"/>
                </w:rPr>
                <m:t>#</m:t>
              </m:r>
              <m:d>
                <m:dPr>
                  <m:ctrlPr>
                    <w:rPr>
                      <w:rFonts w:ascii="Cambria Math" w:hAnsi="Cambria Math"/>
                      <w:i/>
                      <w:color w:val="000000"/>
                    </w:rPr>
                  </m:ctrlPr>
                </m:dPr>
                <m:e>
                  <m:r>
                    <w:rPr>
                      <w:rFonts w:ascii="Cambria Math" w:hAnsi="Cambria Math"/>
                      <w:color w:val="000000"/>
                    </w:rPr>
                    <m:t>10</m:t>
                  </m:r>
                </m:e>
              </m:d>
              <m:ctrlPr>
                <w:rPr>
                  <w:rFonts w:ascii="Cambria Math" w:hAnsi="Cambria Math"/>
                  <w:i/>
                  <w:color w:val="000000" w:themeColor="text1"/>
                </w:rPr>
              </m:ctrlPr>
            </m:e>
          </m:eqArr>
        </m:oMath>
      </m:oMathPara>
    </w:p>
    <w:p w14:paraId="1CB85251" w14:textId="1EB7DFE8" w:rsidR="00746300" w:rsidRPr="00746300" w:rsidRDefault="00746300" w:rsidP="00746300">
      <w:pPr>
        <w:pStyle w:val="Text"/>
        <w:spacing w:afterAutospacing="1" w:line="240" w:lineRule="auto"/>
        <w:ind w:firstLine="0"/>
        <w:jc w:val="left"/>
        <w:rPr>
          <w:color w:val="000000"/>
        </w:rPr>
      </w:pPr>
      <w:r>
        <w:rPr>
          <w:color w:val="000000"/>
        </w:rPr>
        <w:tab/>
        <w:t>Armed with equations (3)-(5) and (7)-(10) the three cases now have the underlying physics modeled in a way that a discrete form can be constructed conveniently within MATLAB.</w:t>
      </w:r>
    </w:p>
    <w:p w14:paraId="3B2177CD" w14:textId="06569919" w:rsidR="00C8562D" w:rsidRPr="00E31146" w:rsidRDefault="00371D61" w:rsidP="00493201">
      <w:pPr>
        <w:pStyle w:val="Heading1"/>
      </w:pPr>
      <w:r>
        <w:t xml:space="preserve"> </w:t>
      </w:r>
      <w:r w:rsidR="00746300">
        <w:t>Discretization</w:t>
      </w:r>
    </w:p>
    <w:p w14:paraId="1B07CFAB" w14:textId="60D818F4" w:rsidR="001B1EAC" w:rsidRDefault="001E2378" w:rsidP="00746300">
      <w:pPr>
        <w:pStyle w:val="Text"/>
        <w:spacing w:line="240" w:lineRule="auto"/>
      </w:pPr>
      <w:r>
        <w:t>To</w:t>
      </w:r>
      <w:r w:rsidR="00746300">
        <w:t xml:space="preserve"> discretize this problem an explicit scheme was used in time while central differencing was used in space. </w:t>
      </w:r>
      <w:r>
        <w:t>The form of the explicit scheme is as follows</w:t>
      </w:r>
    </w:p>
    <w:p w14:paraId="3006F3B1" w14:textId="6B6053C5" w:rsidR="001E2378" w:rsidRPr="001E2378" w:rsidRDefault="001E2378" w:rsidP="001E2378">
      <w:pPr>
        <w:pStyle w:val="Text"/>
        <w:spacing w:line="240" w:lineRule="auto"/>
        <w:jc w:val="cente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ϕ</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i</m:t>
                  </m:r>
                </m:sub>
              </m:sSub>
              <m:r>
                <w:rPr>
                  <w:rFonts w:ascii="Cambria Math" w:hAnsi="Cambria Math"/>
                </w:rPr>
                <m:t>+Δt</m:t>
              </m:r>
              <m:f>
                <m:fPr>
                  <m:ctrlPr>
                    <w:rPr>
                      <w:rFonts w:ascii="Cambria Math" w:hAnsi="Cambria Math"/>
                      <w:i/>
                    </w:rPr>
                  </m:ctrlPr>
                </m:fPr>
                <m:num>
                  <m:r>
                    <w:rPr>
                      <w:rFonts w:ascii="Cambria Math" w:hAnsi="Cambria Math"/>
                    </w:rPr>
                    <m:t>∂ϕ</m:t>
                  </m:r>
                </m:num>
                <m:den>
                  <m:r>
                    <w:rPr>
                      <w:rFonts w:ascii="Cambria Math" w:hAnsi="Cambria Math"/>
                    </w:rPr>
                    <m:t>∂t</m:t>
                  </m:r>
                </m:den>
              </m:f>
              <m:r>
                <w:rPr>
                  <w:rFonts w:ascii="Cambria Math" w:hAnsi="Cambria Math"/>
                </w:rPr>
                <m:t xml:space="preserve"> #</m:t>
              </m:r>
              <m:d>
                <m:dPr>
                  <m:ctrlPr>
                    <w:rPr>
                      <w:rFonts w:ascii="Cambria Math" w:hAnsi="Cambria Math"/>
                      <w:i/>
                    </w:rPr>
                  </m:ctrlPr>
                </m:dPr>
                <m:e>
                  <m:r>
                    <w:rPr>
                      <w:rFonts w:ascii="Cambria Math" w:hAnsi="Cambria Math"/>
                    </w:rPr>
                    <m:t>11</m:t>
                  </m:r>
                </m:e>
              </m:d>
            </m:e>
          </m:eqArr>
        </m:oMath>
      </m:oMathPara>
    </w:p>
    <w:p w14:paraId="184E9E0B" w14:textId="1239E56A" w:rsidR="001E2378" w:rsidRDefault="001E2378" w:rsidP="001E2378">
      <w:pPr>
        <w:pStyle w:val="Text"/>
        <w:spacing w:line="240" w:lineRule="auto"/>
        <w:jc w:val="left"/>
      </w:pPr>
      <w:r>
        <w:lastRenderedPageBreak/>
        <w:t>where φ is an arbitrary function. The central difference scheme for the first derivative is defined as</w:t>
      </w:r>
    </w:p>
    <w:p w14:paraId="15B69D27" w14:textId="05B15B61" w:rsidR="00535292" w:rsidRPr="009C5F5E" w:rsidRDefault="009C5F5E" w:rsidP="009C5F5E">
      <w:pPr>
        <w:pStyle w:val="Text"/>
        <w:spacing w:line="240" w:lineRule="auto"/>
        <w:jc w:val="center"/>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m:t>
                      </m:r>
                    </m:sub>
                  </m:sSub>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j-1</m:t>
                      </m:r>
                    </m:sub>
                  </m:sSub>
                </m:num>
                <m:den>
                  <m:r>
                    <m:rPr>
                      <m:sty m:val="p"/>
                    </m:rPr>
                    <w:rPr>
                      <w:rFonts w:ascii="Cambria Math" w:hAnsi="Cambria Math"/>
                    </w:rPr>
                    <m:t>Δ</m:t>
                  </m:r>
                  <m:r>
                    <w:rPr>
                      <w:rFonts w:ascii="Cambria Math" w:hAnsi="Cambria Math"/>
                    </w:rPr>
                    <m:t>x</m:t>
                  </m:r>
                </m:den>
              </m:f>
              <m:r>
                <w:rPr>
                  <w:rFonts w:ascii="Cambria Math" w:hAnsi="Cambria Math"/>
                </w:rPr>
                <m:t xml:space="preserve"> #</m:t>
              </m:r>
              <m:d>
                <m:dPr>
                  <m:ctrlPr>
                    <w:rPr>
                      <w:rFonts w:ascii="Cambria Math" w:hAnsi="Cambria Math"/>
                      <w:i/>
                    </w:rPr>
                  </m:ctrlPr>
                </m:dPr>
                <m:e>
                  <m:r>
                    <w:rPr>
                      <w:rFonts w:ascii="Cambria Math" w:hAnsi="Cambria Math"/>
                    </w:rPr>
                    <m:t>12</m:t>
                  </m:r>
                </m:e>
              </m:d>
            </m:e>
          </m:eqArr>
        </m:oMath>
      </m:oMathPara>
    </w:p>
    <w:p w14:paraId="72127B70" w14:textId="15433B5B" w:rsidR="009C5F5E" w:rsidRPr="009C5F5E" w:rsidRDefault="009C5F5E" w:rsidP="009C5F5E">
      <w:pPr>
        <w:pStyle w:val="Text"/>
        <w:spacing w:line="240" w:lineRule="auto"/>
        <w:jc w:val="left"/>
      </w:pPr>
      <w:r>
        <w:t xml:space="preserve">where x can be any </w:t>
      </w:r>
      <w:r w:rsidR="00583689">
        <w:t>space like term such as y or r</w:t>
      </w:r>
      <w:r>
        <w:t xml:space="preserve">. </w:t>
      </w:r>
    </w:p>
    <w:p w14:paraId="19B7A654" w14:textId="77777777" w:rsidR="005B5BE2" w:rsidRPr="00E31146" w:rsidRDefault="00371D61" w:rsidP="00493201">
      <w:pPr>
        <w:pStyle w:val="Heading1"/>
      </w:pPr>
      <w:r>
        <w:t xml:space="preserve"> </w:t>
      </w:r>
      <w:r w:rsidR="00043D42">
        <w:t xml:space="preserve"> </w:t>
      </w:r>
      <w:r w:rsidR="005B5BE2" w:rsidRPr="00E31146">
        <w:t>Instructions</w:t>
      </w:r>
    </w:p>
    <w:p w14:paraId="3574B118" w14:textId="77777777" w:rsidR="004E15B0" w:rsidRPr="00E31146" w:rsidRDefault="004E15B0" w:rsidP="00493201">
      <w:pPr>
        <w:pStyle w:val="Text"/>
        <w:spacing w:line="240" w:lineRule="auto"/>
      </w:pPr>
      <w:r w:rsidRPr="00E31146">
        <w:t xml:space="preserve">If you are using the </w:t>
      </w:r>
      <w:r w:rsidR="00750ED5" w:rsidRPr="00E31146">
        <w:t>AIAA Journals Microsoft Word Template</w:t>
      </w:r>
      <w:r w:rsidRPr="00E31146">
        <w:t xml:space="preserve"> file to prepare your manuscript, you can simply type your own text over sections of this document, or cut and paste from another document and use the available markup styles. If you choose to cut and paste, select the text from your original Word document and choose Edit&gt;Copy. (Do not select your title and author information, since the document spacing may be affected. It is a simple task to reenter your title and author information in the template.) Open the Journals Template. Place your cursor in the text area of the template and select Edit&gt;Paste Special. When the Paste Special box opens, choose “unformatted text.” Please note that special formatting (e.g., subscripts, superscripts, italics) may be lost when you copy your text into the template.</w:t>
      </w:r>
    </w:p>
    <w:p w14:paraId="58BAB19F" w14:textId="77777777" w:rsidR="004E15B0" w:rsidRPr="00E31146" w:rsidRDefault="004E15B0" w:rsidP="00493201">
      <w:pPr>
        <w:pStyle w:val="Text"/>
        <w:spacing w:line="240" w:lineRule="auto"/>
      </w:pPr>
      <w:r w:rsidRPr="00E31146">
        <w:t xml:space="preserve">To apply the AIAA Journals formatting, use the </w:t>
      </w:r>
      <w:r w:rsidR="00E60677" w:rsidRPr="00E31146">
        <w:t xml:space="preserve">Home ribbon </w:t>
      </w:r>
      <w:r w:rsidRPr="00E31146">
        <w:t xml:space="preserve">at the top of your Word window. </w:t>
      </w:r>
      <w:r w:rsidR="00E60677" w:rsidRPr="00E31146">
        <w:t xml:space="preserve">Under the Home tab, you will see </w:t>
      </w:r>
      <w:r w:rsidRPr="00E31146">
        <w:t xml:space="preserve"> a list of formats, including Heading 1, Heading 2, Text, etc. (for example, the style at this point in the document is “Text”); all the styles you will need to format your document are available in the menu. Highlight a heading or section of text that you want to designate with a certain style, and then select the appropriate style name from the menu. The style will automatically adjust your fonts and line spacing. Repeat this process to apply formatting to all elements of your paper. </w:t>
      </w:r>
      <w:r w:rsidRPr="00E31146">
        <w:rPr>
          <w:i/>
        </w:rPr>
        <w:t>Do not change the font sizes, line spacing, or margins. Do not hyphenate your document.</w:t>
      </w:r>
      <w:r w:rsidRPr="00E31146">
        <w:t xml:space="preserve"> Use italics for emphasis; do not underline. </w:t>
      </w:r>
    </w:p>
    <w:p w14:paraId="0D3CFAAE" w14:textId="77777777" w:rsidR="004E15B0" w:rsidRPr="00E31146" w:rsidRDefault="004E15B0" w:rsidP="00493201">
      <w:pPr>
        <w:pStyle w:val="Text"/>
        <w:spacing w:line="240" w:lineRule="auto"/>
      </w:pPr>
      <w:r w:rsidRPr="00E31146">
        <w:t xml:space="preserve">Use the </w:t>
      </w:r>
      <w:r w:rsidR="00C42827" w:rsidRPr="00E31146">
        <w:t>Print option under the File tab</w:t>
      </w:r>
      <w:r w:rsidRPr="00E31146">
        <w:t xml:space="preserve"> to </w:t>
      </w:r>
      <w:r w:rsidR="00333ED6" w:rsidRPr="00E31146">
        <w:t xml:space="preserve">view Page Layout and </w:t>
      </w:r>
      <w:r w:rsidRPr="00E31146">
        <w:t>see the most accurate representation of how your final paper will appear. Once formatting is complete, be sure to double space all sections of your manuscript.</w:t>
      </w:r>
    </w:p>
    <w:p w14:paraId="7769977C" w14:textId="77777777" w:rsidR="004E15B0" w:rsidRPr="00E31146" w:rsidRDefault="00795FE9" w:rsidP="00493201">
      <w:pPr>
        <w:pStyle w:val="Heading4"/>
        <w:spacing w:before="240" w:after="240"/>
        <w:jc w:val="both"/>
        <w:rPr>
          <w:bCs/>
        </w:rPr>
      </w:pPr>
      <w:r w:rsidRPr="00E31146">
        <w:rPr>
          <w:bCs/>
        </w:rPr>
        <w:t xml:space="preserve">A. </w:t>
      </w:r>
      <w:r w:rsidR="004E15B0" w:rsidRPr="00E31146">
        <w:rPr>
          <w:bCs/>
        </w:rPr>
        <w:t>Document Text</w:t>
      </w:r>
    </w:p>
    <w:p w14:paraId="28E56BAE" w14:textId="77777777" w:rsidR="004E15B0" w:rsidRPr="00E31146" w:rsidRDefault="004E15B0" w:rsidP="00493201">
      <w:pPr>
        <w:pStyle w:val="Text"/>
        <w:spacing w:line="240" w:lineRule="auto"/>
      </w:pPr>
      <w:r w:rsidRPr="00E31146">
        <w:t>The default font for the Template is Times New Roman, 10-point size. In the electronic template, use the “Text” style from the pull-down menu to format all primary text for your manuscript. The first line of every paragraph should be indented, and all lines should be double-spaced. Default margins are 1 in. on all sides. In the electronic version of this template, all margins and other formatting are preset. There should be no additional (blank) lines between paragraphs.</w:t>
      </w:r>
    </w:p>
    <w:p w14:paraId="0460C0F7" w14:textId="77777777" w:rsidR="004E15B0" w:rsidRPr="00E31146" w:rsidRDefault="004E15B0" w:rsidP="00493201">
      <w:pPr>
        <w:pStyle w:val="Text"/>
        <w:spacing w:line="240" w:lineRule="auto"/>
      </w:pPr>
      <w:r w:rsidRPr="00E31146">
        <w:rPr>
          <w:i/>
        </w:rPr>
        <w:t>NOTE:</w:t>
      </w:r>
      <w:r w:rsidRPr="00E31146">
        <w:t xml:space="preserve"> If you are using the </w:t>
      </w:r>
      <w:r w:rsidR="00750ED5" w:rsidRPr="00E31146">
        <w:t>T</w:t>
      </w:r>
      <w:r w:rsidRPr="00E31146">
        <w:t>emplate to format your manuscript, the required spacing and formatting will be applied automatically, simply by using the appropriate style designation from the pull-down menu.</w:t>
      </w:r>
    </w:p>
    <w:p w14:paraId="0ED7738A" w14:textId="77777777" w:rsidR="004E15B0" w:rsidRPr="00E31146" w:rsidRDefault="005B5BE2" w:rsidP="00493201">
      <w:pPr>
        <w:pStyle w:val="Heading2"/>
        <w:numPr>
          <w:ilvl w:val="0"/>
          <w:numId w:val="0"/>
        </w:numPr>
      </w:pPr>
      <w:r w:rsidRPr="00E31146">
        <w:t xml:space="preserve">B. </w:t>
      </w:r>
      <w:r w:rsidR="004E15B0" w:rsidRPr="00E31146">
        <w:t>Headings</w:t>
      </w:r>
    </w:p>
    <w:p w14:paraId="7A782442" w14:textId="77777777" w:rsidR="004E15B0" w:rsidRPr="00E31146" w:rsidRDefault="004E15B0" w:rsidP="00493201">
      <w:pPr>
        <w:pStyle w:val="Text"/>
        <w:spacing w:line="240" w:lineRule="auto"/>
      </w:pPr>
      <w:r w:rsidRPr="00E31146">
        <w:t>Format the title of your paper in bold, 18-point type, with capital and lower-case letters, and center it at the top of the page. The names of the authors, business or academic affiliation, city, and state/province follow on separate lines below the title. The names of authors with the same affiliation can be listed on the same line above their collective affiliation information. Author names are centered, and affiliations are centered and in italic type. The affiliation line for each author includes that author’s city, state, and zip/postal code (or city, province, zip/postal code and country, as appropriate). The first footnote (bottom of first page) contains the job title and department name, and AIAA member grade for each author.</w:t>
      </w:r>
      <w:r w:rsidR="00750ED5" w:rsidRPr="00E31146">
        <w:t xml:space="preserve"> Author email addresses may be included also.</w:t>
      </w:r>
    </w:p>
    <w:p w14:paraId="6E1401D8" w14:textId="77777777" w:rsidR="004E15B0" w:rsidRPr="00E31146" w:rsidRDefault="004E15B0" w:rsidP="00493201">
      <w:pPr>
        <w:pStyle w:val="Text"/>
        <w:spacing w:line="240" w:lineRule="auto"/>
      </w:pPr>
      <w:r w:rsidRPr="00E31146">
        <w:t>Major headings in the template (“Heading 1” in the template style list) are bold 11-point font and centered. Please omit section numbers before all headings unless you refer frequently to different sections. Use Roman numerals for major headings if they must be numbered.</w:t>
      </w:r>
    </w:p>
    <w:p w14:paraId="10979DB4" w14:textId="77777777" w:rsidR="004E15B0" w:rsidRPr="00E31146" w:rsidRDefault="004E15B0" w:rsidP="00493201">
      <w:pPr>
        <w:pStyle w:val="Text"/>
        <w:spacing w:line="240" w:lineRule="auto"/>
      </w:pPr>
      <w:r w:rsidRPr="00E31146">
        <w:t>Subheadings (“Heading 2” in the template style list) are bold, flush left, and either unnumbered or identified with capital letters if necessary for cross-referencing sections within the paper.</w:t>
      </w:r>
      <w:r w:rsidR="007C5B35" w:rsidRPr="00E31146">
        <w:t xml:space="preserve"> There must be at least 2 of all subheadings and sub-subheadings. If there is only a single </w:t>
      </w:r>
      <w:r w:rsidR="00C23793" w:rsidRPr="00E31146">
        <w:t>subheading</w:t>
      </w:r>
      <w:r w:rsidR="007C5B35" w:rsidRPr="00E31146">
        <w:t xml:space="preserve"> or sub-subheading, please italicize the title of the subheadings, followed by a period, and run it into the text paragraph. </w:t>
      </w:r>
    </w:p>
    <w:p w14:paraId="2389BAF7" w14:textId="77777777" w:rsidR="004E15B0" w:rsidRPr="00E31146" w:rsidRDefault="004E15B0" w:rsidP="00493201">
      <w:pPr>
        <w:pStyle w:val="Text"/>
        <w:spacing w:line="240" w:lineRule="auto"/>
      </w:pPr>
      <w:r w:rsidRPr="00E31146">
        <w:t>Sub-subheadings (“Heading 3” in the template style list) are italic, flush left, and either unnumbered or numbered with Arabic numerals (1, 2, 3, etc.) if necessary for cross-referencing sections within the paper.</w:t>
      </w:r>
    </w:p>
    <w:p w14:paraId="75D64E86" w14:textId="77777777" w:rsidR="004E15B0" w:rsidRPr="00E31146" w:rsidRDefault="005B5BE2" w:rsidP="00493201">
      <w:pPr>
        <w:pStyle w:val="Heading2"/>
        <w:numPr>
          <w:ilvl w:val="0"/>
          <w:numId w:val="0"/>
        </w:numPr>
      </w:pPr>
      <w:r w:rsidRPr="00E31146">
        <w:t xml:space="preserve">C. </w:t>
      </w:r>
      <w:r w:rsidR="004E15B0" w:rsidRPr="00E31146">
        <w:t>Abstract</w:t>
      </w:r>
    </w:p>
    <w:p w14:paraId="398F5EBF" w14:textId="77777777" w:rsidR="004E15B0" w:rsidRPr="00E31146" w:rsidRDefault="004E15B0" w:rsidP="00493201">
      <w:pPr>
        <w:pStyle w:val="Text"/>
        <w:spacing w:line="240" w:lineRule="auto"/>
      </w:pPr>
      <w:r w:rsidRPr="00E31146">
        <w:lastRenderedPageBreak/>
        <w:t>An abstract appears at the beginning of Full-Length Papers</w:t>
      </w:r>
      <w:r w:rsidR="00750ED5" w:rsidRPr="00E31146">
        <w:t>, Regular Articles, and Express Articles</w:t>
      </w:r>
      <w:r w:rsidRPr="00E31146">
        <w:t>. (Survey and Design Forum Papers, History of Key Technologies Papers, invited lectures, and Technical/Engineering Notes do not include abstracts.) The abstract is one paragraph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Format the abstract bold, indented 3 picas (1/2 in.) on each side, and separated from the rest of the document by two blank lines.</w:t>
      </w:r>
    </w:p>
    <w:p w14:paraId="4C3286CC" w14:textId="77777777" w:rsidR="004E15B0" w:rsidRPr="00E31146" w:rsidRDefault="004E15B0" w:rsidP="00493201">
      <w:pPr>
        <w:pStyle w:val="Heading2"/>
      </w:pPr>
      <w:r w:rsidRPr="00E31146">
        <w:t>Nomenclature</w:t>
      </w:r>
    </w:p>
    <w:p w14:paraId="496A2FE7" w14:textId="77777777" w:rsidR="004E15B0" w:rsidRPr="00E31146" w:rsidRDefault="004E15B0" w:rsidP="00493201">
      <w:pPr>
        <w:pStyle w:val="Text"/>
        <w:spacing w:line="240" w:lineRule="auto"/>
      </w:pPr>
      <w:r w:rsidRPr="00E31146">
        <w:t xml:space="preserve">Papers with many symbols </w:t>
      </w:r>
      <w:r w:rsidR="00727F41" w:rsidRPr="00E31146">
        <w:t>may benefit from</w:t>
      </w:r>
      <w:r w:rsidRPr="00E31146">
        <w:t xml:space="preserve"> a nomenclature</w:t>
      </w:r>
      <w:r w:rsidR="00727F41" w:rsidRPr="00E31146">
        <w:t xml:space="preserve"> list</w:t>
      </w:r>
      <w:r w:rsidRPr="00E31146">
        <w:t xml:space="preserve"> that defines all symbols with units, inserted between the abstract and the introduction. If one is used, it must contain all the symbology used in the manuscript, and the definitions should not be repeated in the text. In all cases, identify the symbols used if they are not widely recognized in the profession. Define acronyms in the text, not in the nomenclature. </w:t>
      </w:r>
    </w:p>
    <w:p w14:paraId="09BC8B0F" w14:textId="77777777" w:rsidR="004E15B0" w:rsidRPr="00E31146" w:rsidRDefault="004E15B0" w:rsidP="00493201">
      <w:pPr>
        <w:pStyle w:val="Heading2"/>
      </w:pPr>
      <w:r w:rsidRPr="00E31146">
        <w:t>Biographies</w:t>
      </w:r>
    </w:p>
    <w:p w14:paraId="212F85A2" w14:textId="77777777" w:rsidR="004E15B0" w:rsidRPr="00E31146" w:rsidRDefault="004E15B0" w:rsidP="00493201">
      <w:pPr>
        <w:pStyle w:val="Text"/>
        <w:spacing w:line="240" w:lineRule="auto"/>
      </w:pPr>
      <w:r w:rsidRPr="00E31146">
        <w:t>Survey Papers and some Full-Length Papers include author biographies. These biographies are one paragraph each and should use the abstract formatting style.</w:t>
      </w:r>
    </w:p>
    <w:p w14:paraId="372660C2" w14:textId="77777777" w:rsidR="004E15B0" w:rsidRPr="00E31146" w:rsidRDefault="004E15B0" w:rsidP="00493201">
      <w:pPr>
        <w:pStyle w:val="Heading2"/>
      </w:pPr>
      <w:r w:rsidRPr="00E31146">
        <w:t>Footnotes and References</w:t>
      </w:r>
    </w:p>
    <w:p w14:paraId="565AC233" w14:textId="77777777" w:rsidR="004E15B0" w:rsidRPr="00E31146" w:rsidRDefault="004E15B0" w:rsidP="00493201">
      <w:pPr>
        <w:pStyle w:val="Text"/>
        <w:spacing w:line="240" w:lineRule="auto"/>
      </w:pPr>
      <w:r w:rsidRPr="00E31146">
        <w:t xml:space="preserve">Footnotes, where they appear, are placed above the 1-in. margin at the bottom of the page. To insert footnotes into the template, use the Insert&gt;Footnote feature from the main menu as necessary. </w:t>
      </w:r>
      <w:r w:rsidR="00547D0A">
        <w:t>Numbered f</w:t>
      </w:r>
      <w:r w:rsidRPr="00E31146">
        <w:t xml:space="preserve">ootnotes </w:t>
      </w:r>
      <w:r w:rsidR="00547D0A">
        <w:t>as</w:t>
      </w:r>
      <w:r w:rsidRPr="00E31146">
        <w:t xml:space="preserve"> formatted automatically in the template</w:t>
      </w:r>
      <w:r w:rsidR="00547D0A">
        <w:t xml:space="preserve"> are acceptable, </w:t>
      </w:r>
      <w:r w:rsidRPr="00E31146">
        <w:t xml:space="preserve"> but superscript symbols</w:t>
      </w:r>
      <w:r w:rsidR="00547D0A">
        <w:t xml:space="preserve"> are the preferred AIAA style,</w:t>
      </w:r>
      <w:r w:rsidRPr="00E31146">
        <w:t xml:space="preserve"> in the following sequence: *, †, ‡, §, ¶, **, ††, ‡‡, §§, etc.</w:t>
      </w:r>
    </w:p>
    <w:p w14:paraId="72D9028E" w14:textId="77777777" w:rsidR="004E15B0" w:rsidRPr="00E31146" w:rsidRDefault="004E15B0" w:rsidP="00493201">
      <w:pPr>
        <w:pStyle w:val="Text"/>
        <w:spacing w:line="240" w:lineRule="auto"/>
      </w:pPr>
      <w:r w:rsidRPr="00E31146">
        <w:t>List and number all references at the end of the paper. Corresponding bracketed numbers are used to cite references in the text [1], including citations that are an integral part of the sentence (e.g., “It is shown in</w:t>
      </w:r>
      <w:r w:rsidR="00727F41" w:rsidRPr="00E31146">
        <w:t xml:space="preserve"> Ref.</w:t>
      </w:r>
      <w:r w:rsidRPr="00E31146">
        <w:t xml:space="preserve"> [2] that…”) or follow a mathematical expression: “</w:t>
      </w:r>
      <w:r w:rsidRPr="00E31146">
        <w:rPr>
          <w:i/>
        </w:rPr>
        <w:t>A</w:t>
      </w:r>
      <w:r w:rsidRPr="00E31146">
        <w:rPr>
          <w:vertAlign w:val="superscript"/>
        </w:rPr>
        <w:t>2</w:t>
      </w:r>
      <w:r w:rsidRPr="00E31146">
        <w:t xml:space="preserve"> + </w:t>
      </w:r>
      <w:r w:rsidRPr="00E31146">
        <w:rPr>
          <w:i/>
        </w:rPr>
        <w:t>B</w:t>
      </w:r>
      <w:r w:rsidRPr="00E31146">
        <w:t xml:space="preserve"> = </w:t>
      </w:r>
      <w:r w:rsidRPr="00E31146">
        <w:rPr>
          <w:i/>
        </w:rPr>
        <w:t>C</w:t>
      </w:r>
      <w:r w:rsidRPr="00E31146">
        <w:t xml:space="preserve"> (Ref. [3]).” For multiple citations, separate reference numbers with commas [4, 5], or use a dash to show a range [6–8]. Reference citations in the text should be in numerical order.</w:t>
      </w:r>
    </w:p>
    <w:p w14:paraId="0A43EE3C" w14:textId="77777777" w:rsidR="004E15B0" w:rsidRPr="00E31146" w:rsidRDefault="004E15B0" w:rsidP="00493201">
      <w:pPr>
        <w:pStyle w:val="Text"/>
        <w:spacing w:line="240" w:lineRule="auto"/>
      </w:pPr>
      <w:r w:rsidRPr="00E31146">
        <w:t>In the reference list, give all authors’ names; do not use “et al</w:t>
      </w:r>
      <w:r w:rsidRPr="00E31146">
        <w:rPr>
          <w:i/>
        </w:rPr>
        <w:t>.</w:t>
      </w:r>
      <w:r w:rsidRPr="00E31146">
        <w:t xml:space="preserve">”. Papers that have not been published should be cited as “unpublished”; papers that have been submitted or accepted for publication should be cited as “submitted for publication.” Private communications and personal </w:t>
      </w:r>
      <w:r w:rsidR="00727F41" w:rsidRPr="00E31146">
        <w:t>w</w:t>
      </w:r>
      <w:r w:rsidRPr="00E31146">
        <w:t>ebsites should appear as footnotes rather than in the reference list.</w:t>
      </w:r>
    </w:p>
    <w:p w14:paraId="6B1735F5" w14:textId="77777777" w:rsidR="004E15B0" w:rsidRPr="00E31146" w:rsidRDefault="004E15B0" w:rsidP="00493201">
      <w:pPr>
        <w:pStyle w:val="Text"/>
        <w:spacing w:line="240" w:lineRule="auto"/>
      </w:pPr>
      <w:r w:rsidRPr="00E31146">
        <w:t>References should be cited according to the standard publication reference style. (For examples, see the “References” section of this template.) Never edit titles in references to conform to AIAA style of spellings, abbreviations, etc. Names and locations of publishers should be listed; month and year should be included for reports and papers. For papers published in translation journals, please give the English citation first, followed by the original foreign language citation.</w:t>
      </w:r>
    </w:p>
    <w:p w14:paraId="747DE0C0" w14:textId="77777777" w:rsidR="004E15B0" w:rsidRPr="00E31146" w:rsidRDefault="004E15B0" w:rsidP="00493201">
      <w:pPr>
        <w:pStyle w:val="Heading2"/>
      </w:pPr>
      <w:r w:rsidRPr="00E31146">
        <w:t>Figures and Tables</w:t>
      </w:r>
    </w:p>
    <w:p w14:paraId="1C24238F" w14:textId="77777777" w:rsidR="004E15B0" w:rsidRPr="00E31146" w:rsidRDefault="004E15B0" w:rsidP="00493201">
      <w:pPr>
        <w:pStyle w:val="Text"/>
        <w:spacing w:line="240" w:lineRule="auto"/>
        <w:ind w:firstLine="0"/>
      </w:pPr>
      <w:r w:rsidRPr="00E31146">
        <w:tab/>
        <w:t>Insert tables and figures within your document; they may be either scattered throughout the text or grouped all together at the end of the file. Use the Table drop-down menu to create your tables; do not insert your figures in text boxes. Figures should have no background, borders, or outlines. In the electronic template, use the “Figure” style from the pull-down formatting menu to type caption text. You may also insert the caption by going to the Insert menu and choosing Caption. Make sure the label is “Fig.,” and type your caption text in the box provided. Captions are bold with a single tab (no hyphen or other character) between the figure number and figure description. See the Table 1 example for table style and column alignment. If you wish to center tables that do not fill the width of the page, simply highlight and “grab” the entire table to move it into proper position.</w:t>
      </w:r>
    </w:p>
    <w:p w14:paraId="3174D787" w14:textId="77777777" w:rsidR="00795FE9" w:rsidRPr="00E31146" w:rsidRDefault="00795FE9" w:rsidP="00493201">
      <w:pPr>
        <w:pStyle w:val="Text"/>
        <w:spacing w:line="240" w:lineRule="auto"/>
        <w:ind w:firstLine="0"/>
      </w:pPr>
    </w:p>
    <w:tbl>
      <w:tblPr>
        <w:tblW w:w="0" w:type="auto"/>
        <w:tblInd w:w="11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540"/>
        <w:gridCol w:w="540"/>
        <w:gridCol w:w="720"/>
        <w:gridCol w:w="1620"/>
        <w:gridCol w:w="1260"/>
        <w:gridCol w:w="1440"/>
      </w:tblGrid>
      <w:tr w:rsidR="004E15B0" w:rsidRPr="00E31146" w14:paraId="6CCDDB4B" w14:textId="77777777">
        <w:trPr>
          <w:trHeight w:val="233"/>
        </w:trPr>
        <w:tc>
          <w:tcPr>
            <w:tcW w:w="6948" w:type="dxa"/>
            <w:gridSpan w:val="7"/>
            <w:tcBorders>
              <w:top w:val="nil"/>
              <w:left w:val="nil"/>
              <w:bottom w:val="nil"/>
              <w:right w:val="nil"/>
            </w:tcBorders>
          </w:tcPr>
          <w:p w14:paraId="6A7D20D2" w14:textId="77777777" w:rsidR="004E15B0" w:rsidRPr="00E31146" w:rsidRDefault="004E15B0" w:rsidP="00493201">
            <w:pPr>
              <w:pStyle w:val="Heading4"/>
            </w:pPr>
            <w:r w:rsidRPr="00E31146">
              <w:t xml:space="preserve">Table </w:t>
            </w:r>
            <w:r w:rsidR="00795FE9" w:rsidRPr="00E31146">
              <w:t>1 Transitions</w:t>
            </w:r>
            <w:r w:rsidRPr="00E31146">
              <w:t xml:space="preserve"> selected for thermometry</w:t>
            </w:r>
          </w:p>
          <w:p w14:paraId="5D60FCC4" w14:textId="77777777" w:rsidR="00795FE9" w:rsidRPr="00E31146" w:rsidRDefault="00795FE9" w:rsidP="00493201"/>
        </w:tc>
      </w:tr>
      <w:tr w:rsidR="004E15B0" w:rsidRPr="00E31146" w14:paraId="6EF963AD" w14:textId="77777777">
        <w:trPr>
          <w:trHeight w:val="233"/>
        </w:trPr>
        <w:tc>
          <w:tcPr>
            <w:tcW w:w="828" w:type="dxa"/>
            <w:tcBorders>
              <w:top w:val="double" w:sz="4" w:space="0" w:color="auto"/>
              <w:left w:val="nil"/>
              <w:bottom w:val="nil"/>
              <w:right w:val="nil"/>
            </w:tcBorders>
          </w:tcPr>
          <w:p w14:paraId="3062C242" w14:textId="77777777" w:rsidR="004E15B0" w:rsidRPr="00E31146" w:rsidRDefault="004E15B0" w:rsidP="00493201"/>
        </w:tc>
        <w:tc>
          <w:tcPr>
            <w:tcW w:w="1800" w:type="dxa"/>
            <w:gridSpan w:val="3"/>
            <w:tcBorders>
              <w:top w:val="double" w:sz="4" w:space="0" w:color="auto"/>
              <w:left w:val="nil"/>
              <w:bottom w:val="single" w:sz="4" w:space="0" w:color="auto"/>
              <w:right w:val="nil"/>
            </w:tcBorders>
            <w:vAlign w:val="bottom"/>
          </w:tcPr>
          <w:p w14:paraId="57C33B1C" w14:textId="77777777" w:rsidR="004E15B0" w:rsidRPr="00E31146" w:rsidRDefault="004E15B0" w:rsidP="00493201">
            <w:pPr>
              <w:pStyle w:val="AuthorNames"/>
            </w:pPr>
            <w:r w:rsidRPr="00E31146">
              <w:t>Transition</w:t>
            </w:r>
          </w:p>
        </w:tc>
        <w:tc>
          <w:tcPr>
            <w:tcW w:w="1620" w:type="dxa"/>
            <w:tcBorders>
              <w:top w:val="double" w:sz="4" w:space="0" w:color="auto"/>
              <w:left w:val="nil"/>
              <w:bottom w:val="nil"/>
              <w:right w:val="nil"/>
            </w:tcBorders>
          </w:tcPr>
          <w:p w14:paraId="77BF98E7" w14:textId="77777777" w:rsidR="004E15B0" w:rsidRPr="00E31146" w:rsidRDefault="004E15B0" w:rsidP="00493201"/>
        </w:tc>
        <w:tc>
          <w:tcPr>
            <w:tcW w:w="2700" w:type="dxa"/>
            <w:gridSpan w:val="2"/>
            <w:tcBorders>
              <w:top w:val="double" w:sz="4" w:space="0" w:color="auto"/>
              <w:left w:val="nil"/>
              <w:bottom w:val="nil"/>
              <w:right w:val="nil"/>
            </w:tcBorders>
          </w:tcPr>
          <w:p w14:paraId="0C59E02A" w14:textId="77777777" w:rsidR="004E15B0" w:rsidRPr="00E31146" w:rsidRDefault="004E15B0" w:rsidP="00493201"/>
        </w:tc>
      </w:tr>
      <w:tr w:rsidR="004E15B0" w:rsidRPr="00E31146" w14:paraId="64837A38" w14:textId="77777777">
        <w:trPr>
          <w:trHeight w:val="204"/>
        </w:trPr>
        <w:tc>
          <w:tcPr>
            <w:tcW w:w="828" w:type="dxa"/>
            <w:tcBorders>
              <w:top w:val="nil"/>
              <w:left w:val="nil"/>
              <w:bottom w:val="single" w:sz="4" w:space="0" w:color="auto"/>
              <w:right w:val="nil"/>
            </w:tcBorders>
            <w:vAlign w:val="center"/>
          </w:tcPr>
          <w:p w14:paraId="7071DB6E" w14:textId="77777777" w:rsidR="004E15B0" w:rsidRPr="00E31146" w:rsidRDefault="004E15B0" w:rsidP="00493201">
            <w:r w:rsidRPr="00E31146">
              <w:t>Line</w:t>
            </w:r>
          </w:p>
        </w:tc>
        <w:tc>
          <w:tcPr>
            <w:tcW w:w="540" w:type="dxa"/>
            <w:tcBorders>
              <w:top w:val="nil"/>
              <w:left w:val="nil"/>
              <w:bottom w:val="single" w:sz="4" w:space="0" w:color="auto"/>
              <w:right w:val="nil"/>
            </w:tcBorders>
            <w:vAlign w:val="bottom"/>
          </w:tcPr>
          <w:p w14:paraId="5AFC0744" w14:textId="77777777" w:rsidR="004E15B0" w:rsidRPr="00E31146" w:rsidRDefault="004E15B0" w:rsidP="00493201">
            <w:pPr>
              <w:pStyle w:val="AuthorNames"/>
            </w:pPr>
            <w:r w:rsidRPr="00E31146">
              <w:rPr>
                <w:rFonts w:ascii="Symbol" w:eastAsia="Symbol" w:hAnsi="Symbol" w:cs="Symbol"/>
              </w:rPr>
              <w:t>n²</w:t>
            </w:r>
          </w:p>
        </w:tc>
        <w:tc>
          <w:tcPr>
            <w:tcW w:w="540" w:type="dxa"/>
            <w:tcBorders>
              <w:left w:val="nil"/>
              <w:bottom w:val="single" w:sz="4" w:space="0" w:color="auto"/>
              <w:right w:val="nil"/>
            </w:tcBorders>
            <w:vAlign w:val="bottom"/>
          </w:tcPr>
          <w:p w14:paraId="11AFA2BC" w14:textId="77777777" w:rsidR="004E15B0" w:rsidRPr="00E31146" w:rsidRDefault="004E15B0" w:rsidP="00493201">
            <w:pPr>
              <w:pStyle w:val="AuthorNames"/>
            </w:pPr>
          </w:p>
        </w:tc>
        <w:tc>
          <w:tcPr>
            <w:tcW w:w="720" w:type="dxa"/>
            <w:tcBorders>
              <w:top w:val="nil"/>
              <w:left w:val="nil"/>
              <w:bottom w:val="nil"/>
              <w:right w:val="nil"/>
            </w:tcBorders>
            <w:vAlign w:val="bottom"/>
          </w:tcPr>
          <w:p w14:paraId="1A02B069" w14:textId="77777777" w:rsidR="004E15B0" w:rsidRPr="00E31146" w:rsidRDefault="004E15B0" w:rsidP="00493201">
            <w:pPr>
              <w:pStyle w:val="AuthorNames"/>
            </w:pPr>
            <w:r w:rsidRPr="00E31146">
              <w:rPr>
                <w:i/>
              </w:rPr>
              <w:t>J</w:t>
            </w:r>
            <w:r w:rsidRPr="00E31146">
              <w:rPr>
                <w:rFonts w:ascii="Symbol" w:eastAsia="Symbol" w:hAnsi="Symbol" w:cs="Symbol"/>
              </w:rPr>
              <w:t>²</w:t>
            </w:r>
          </w:p>
        </w:tc>
        <w:tc>
          <w:tcPr>
            <w:tcW w:w="1620" w:type="dxa"/>
            <w:tcBorders>
              <w:top w:val="nil"/>
              <w:left w:val="nil"/>
              <w:bottom w:val="single" w:sz="4" w:space="0" w:color="auto"/>
              <w:right w:val="nil"/>
            </w:tcBorders>
            <w:vAlign w:val="bottom"/>
          </w:tcPr>
          <w:p w14:paraId="743662C4" w14:textId="77777777" w:rsidR="004E15B0" w:rsidRPr="00E31146" w:rsidRDefault="004E15B0" w:rsidP="00493201">
            <w:pPr>
              <w:pStyle w:val="AuthorNames"/>
            </w:pPr>
            <w:r w:rsidRPr="00E31146">
              <w:t>Frequency, cm</w:t>
            </w:r>
            <w:r w:rsidRPr="00E31146">
              <w:rPr>
                <w:vertAlign w:val="superscript"/>
              </w:rPr>
              <w:t>-1</w:t>
            </w:r>
          </w:p>
        </w:tc>
        <w:tc>
          <w:tcPr>
            <w:tcW w:w="1260" w:type="dxa"/>
            <w:tcBorders>
              <w:top w:val="nil"/>
              <w:left w:val="nil"/>
              <w:bottom w:val="single" w:sz="4" w:space="0" w:color="auto"/>
              <w:right w:val="nil"/>
            </w:tcBorders>
            <w:vAlign w:val="bottom"/>
          </w:tcPr>
          <w:p w14:paraId="6577E300" w14:textId="77777777" w:rsidR="004E15B0" w:rsidRPr="00E31146" w:rsidRDefault="004E15B0" w:rsidP="00493201">
            <w:pPr>
              <w:pStyle w:val="AuthorNames"/>
            </w:pPr>
            <w:r w:rsidRPr="00E31146">
              <w:rPr>
                <w:i/>
              </w:rPr>
              <w:t>FJ</w:t>
            </w:r>
            <w:r w:rsidRPr="00E31146">
              <w:t>, cm</w:t>
            </w:r>
            <w:r w:rsidRPr="00E31146">
              <w:rPr>
                <w:vertAlign w:val="superscript"/>
              </w:rPr>
              <w:t>-1</w:t>
            </w:r>
          </w:p>
        </w:tc>
        <w:tc>
          <w:tcPr>
            <w:tcW w:w="1440" w:type="dxa"/>
            <w:tcBorders>
              <w:top w:val="nil"/>
              <w:left w:val="nil"/>
              <w:bottom w:val="single" w:sz="4" w:space="0" w:color="auto"/>
              <w:right w:val="nil"/>
            </w:tcBorders>
            <w:vAlign w:val="bottom"/>
          </w:tcPr>
          <w:p w14:paraId="434C631F" w14:textId="77777777" w:rsidR="004E15B0" w:rsidRPr="00E31146" w:rsidRDefault="004E15B0" w:rsidP="00493201">
            <w:pPr>
              <w:pStyle w:val="AuthorNames"/>
            </w:pPr>
            <w:r w:rsidRPr="00E31146">
              <w:rPr>
                <w:i/>
              </w:rPr>
              <w:t>G</w:t>
            </w:r>
            <w:r w:rsidRPr="00E31146">
              <w:rPr>
                <w:rFonts w:ascii="Symbol" w:eastAsia="Symbol" w:hAnsi="Symbol" w:cs="Symbol"/>
              </w:rPr>
              <w:t>n</w:t>
            </w:r>
            <w:r w:rsidRPr="00E31146">
              <w:t>, cm</w:t>
            </w:r>
            <w:r w:rsidRPr="00E31146">
              <w:rPr>
                <w:vertAlign w:val="superscript"/>
              </w:rPr>
              <w:t>-1</w:t>
            </w:r>
          </w:p>
        </w:tc>
      </w:tr>
      <w:tr w:rsidR="004E15B0" w:rsidRPr="00E31146" w14:paraId="015D59A9" w14:textId="77777777">
        <w:trPr>
          <w:trHeight w:val="233"/>
        </w:trPr>
        <w:tc>
          <w:tcPr>
            <w:tcW w:w="828" w:type="dxa"/>
            <w:tcBorders>
              <w:top w:val="single" w:sz="4" w:space="0" w:color="auto"/>
              <w:left w:val="nil"/>
              <w:bottom w:val="nil"/>
              <w:right w:val="nil"/>
            </w:tcBorders>
          </w:tcPr>
          <w:p w14:paraId="22F4AE02" w14:textId="77777777" w:rsidR="004E15B0" w:rsidRPr="00E31146" w:rsidRDefault="004E15B0" w:rsidP="00493201">
            <w:r w:rsidRPr="00E31146">
              <w:t>a</w:t>
            </w:r>
          </w:p>
        </w:tc>
        <w:tc>
          <w:tcPr>
            <w:tcW w:w="540" w:type="dxa"/>
            <w:tcBorders>
              <w:top w:val="single" w:sz="4" w:space="0" w:color="auto"/>
              <w:left w:val="nil"/>
              <w:bottom w:val="nil"/>
              <w:right w:val="nil"/>
            </w:tcBorders>
            <w:vAlign w:val="bottom"/>
          </w:tcPr>
          <w:p w14:paraId="1FC43947" w14:textId="77777777" w:rsidR="004E15B0" w:rsidRPr="00E31146" w:rsidRDefault="004E15B0" w:rsidP="00493201">
            <w:pPr>
              <w:pStyle w:val="FootnoteText"/>
              <w:jc w:val="center"/>
            </w:pPr>
            <w:r w:rsidRPr="00E31146">
              <w:t>0</w:t>
            </w:r>
          </w:p>
        </w:tc>
        <w:tc>
          <w:tcPr>
            <w:tcW w:w="540" w:type="dxa"/>
            <w:tcBorders>
              <w:top w:val="single" w:sz="4" w:space="0" w:color="auto"/>
              <w:left w:val="nil"/>
              <w:bottom w:val="nil"/>
              <w:right w:val="nil"/>
            </w:tcBorders>
            <w:vAlign w:val="bottom"/>
          </w:tcPr>
          <w:p w14:paraId="45D61543" w14:textId="77777777" w:rsidR="004E15B0" w:rsidRPr="00E31146" w:rsidRDefault="004E15B0" w:rsidP="00493201">
            <w:pPr>
              <w:jc w:val="center"/>
            </w:pPr>
            <w:r w:rsidRPr="00E31146">
              <w:t>P</w:t>
            </w:r>
            <w:r w:rsidRPr="00E31146">
              <w:rPr>
                <w:vertAlign w:val="subscript"/>
              </w:rPr>
              <w:t>12</w:t>
            </w:r>
          </w:p>
        </w:tc>
        <w:tc>
          <w:tcPr>
            <w:tcW w:w="720" w:type="dxa"/>
            <w:tcBorders>
              <w:top w:val="single" w:sz="4" w:space="0" w:color="auto"/>
              <w:left w:val="nil"/>
              <w:bottom w:val="nil"/>
              <w:right w:val="nil"/>
            </w:tcBorders>
            <w:vAlign w:val="bottom"/>
          </w:tcPr>
          <w:p w14:paraId="40FA7538" w14:textId="77777777" w:rsidR="004E15B0" w:rsidRPr="00E31146" w:rsidRDefault="004E15B0" w:rsidP="00493201">
            <w:pPr>
              <w:pStyle w:val="AuthorNames"/>
            </w:pPr>
            <w:r w:rsidRPr="00E31146">
              <w:t>2.5</w:t>
            </w:r>
          </w:p>
        </w:tc>
        <w:tc>
          <w:tcPr>
            <w:tcW w:w="1620" w:type="dxa"/>
            <w:tcBorders>
              <w:top w:val="single" w:sz="4" w:space="0" w:color="auto"/>
              <w:left w:val="nil"/>
              <w:bottom w:val="nil"/>
              <w:right w:val="nil"/>
            </w:tcBorders>
            <w:vAlign w:val="bottom"/>
          </w:tcPr>
          <w:p w14:paraId="636FC2ED" w14:textId="77777777" w:rsidR="004E15B0" w:rsidRPr="00E31146" w:rsidRDefault="004E15B0" w:rsidP="00493201">
            <w:pPr>
              <w:pStyle w:val="AuthorNames"/>
            </w:pPr>
            <w:r w:rsidRPr="00E31146">
              <w:t>44069.416</w:t>
            </w:r>
          </w:p>
        </w:tc>
        <w:tc>
          <w:tcPr>
            <w:tcW w:w="1260" w:type="dxa"/>
            <w:tcBorders>
              <w:top w:val="single" w:sz="4" w:space="0" w:color="auto"/>
              <w:left w:val="nil"/>
              <w:bottom w:val="nil"/>
              <w:right w:val="nil"/>
            </w:tcBorders>
            <w:vAlign w:val="bottom"/>
          </w:tcPr>
          <w:p w14:paraId="5195F947" w14:textId="77777777" w:rsidR="004E15B0" w:rsidRPr="00E31146" w:rsidRDefault="004E15B0" w:rsidP="00493201">
            <w:pPr>
              <w:pStyle w:val="AuthorNames"/>
            </w:pPr>
            <w:r w:rsidRPr="00E31146">
              <w:t>73.58</w:t>
            </w:r>
          </w:p>
        </w:tc>
        <w:tc>
          <w:tcPr>
            <w:tcW w:w="1440" w:type="dxa"/>
            <w:tcBorders>
              <w:top w:val="single" w:sz="4" w:space="0" w:color="auto"/>
              <w:left w:val="nil"/>
              <w:bottom w:val="nil"/>
              <w:right w:val="nil"/>
            </w:tcBorders>
            <w:vAlign w:val="bottom"/>
          </w:tcPr>
          <w:p w14:paraId="01890A50" w14:textId="77777777" w:rsidR="004E15B0" w:rsidRPr="00E31146" w:rsidRDefault="004E15B0" w:rsidP="00493201">
            <w:pPr>
              <w:pStyle w:val="AuthorNames"/>
            </w:pPr>
            <w:r w:rsidRPr="00E31146">
              <w:t>948.66</w:t>
            </w:r>
          </w:p>
        </w:tc>
      </w:tr>
      <w:tr w:rsidR="004E15B0" w:rsidRPr="00E31146" w14:paraId="7223CB47" w14:textId="77777777">
        <w:trPr>
          <w:trHeight w:val="233"/>
        </w:trPr>
        <w:tc>
          <w:tcPr>
            <w:tcW w:w="828" w:type="dxa"/>
            <w:tcBorders>
              <w:top w:val="nil"/>
              <w:left w:val="nil"/>
              <w:bottom w:val="nil"/>
              <w:right w:val="nil"/>
            </w:tcBorders>
          </w:tcPr>
          <w:p w14:paraId="75455D84" w14:textId="77777777" w:rsidR="004E15B0" w:rsidRPr="00E31146" w:rsidRDefault="004E15B0" w:rsidP="00493201">
            <w:r w:rsidRPr="00E31146">
              <w:t>b</w:t>
            </w:r>
          </w:p>
        </w:tc>
        <w:tc>
          <w:tcPr>
            <w:tcW w:w="540" w:type="dxa"/>
            <w:tcBorders>
              <w:top w:val="nil"/>
              <w:left w:val="nil"/>
              <w:bottom w:val="nil"/>
              <w:right w:val="nil"/>
            </w:tcBorders>
            <w:vAlign w:val="bottom"/>
          </w:tcPr>
          <w:p w14:paraId="01219457" w14:textId="77777777" w:rsidR="004E15B0" w:rsidRPr="00E31146" w:rsidRDefault="004E15B0" w:rsidP="00493201">
            <w:pPr>
              <w:jc w:val="center"/>
            </w:pPr>
            <w:r w:rsidRPr="00E31146">
              <w:t>1</w:t>
            </w:r>
          </w:p>
        </w:tc>
        <w:tc>
          <w:tcPr>
            <w:tcW w:w="540" w:type="dxa"/>
            <w:tcBorders>
              <w:top w:val="nil"/>
              <w:left w:val="nil"/>
              <w:bottom w:val="nil"/>
              <w:right w:val="nil"/>
            </w:tcBorders>
            <w:vAlign w:val="bottom"/>
          </w:tcPr>
          <w:p w14:paraId="004490D2" w14:textId="77777777" w:rsidR="004E15B0" w:rsidRPr="00E31146" w:rsidRDefault="004E15B0" w:rsidP="00493201">
            <w:pPr>
              <w:jc w:val="center"/>
            </w:pPr>
            <w:r w:rsidRPr="00E31146">
              <w:t>R</w:t>
            </w:r>
            <w:r w:rsidRPr="00E31146">
              <w:rPr>
                <w:vertAlign w:val="subscript"/>
              </w:rPr>
              <w:t>2</w:t>
            </w:r>
          </w:p>
        </w:tc>
        <w:tc>
          <w:tcPr>
            <w:tcW w:w="720" w:type="dxa"/>
            <w:tcBorders>
              <w:top w:val="nil"/>
              <w:left w:val="nil"/>
              <w:bottom w:val="nil"/>
              <w:right w:val="nil"/>
            </w:tcBorders>
            <w:vAlign w:val="bottom"/>
          </w:tcPr>
          <w:p w14:paraId="61747924" w14:textId="77777777" w:rsidR="004E15B0" w:rsidRPr="00E31146" w:rsidRDefault="004E15B0" w:rsidP="00493201">
            <w:pPr>
              <w:pStyle w:val="AuthorNames"/>
            </w:pPr>
            <w:r w:rsidRPr="00E31146">
              <w:t>2.5</w:t>
            </w:r>
          </w:p>
        </w:tc>
        <w:tc>
          <w:tcPr>
            <w:tcW w:w="1620" w:type="dxa"/>
            <w:tcBorders>
              <w:top w:val="nil"/>
              <w:left w:val="nil"/>
              <w:bottom w:val="nil"/>
              <w:right w:val="nil"/>
            </w:tcBorders>
            <w:vAlign w:val="bottom"/>
          </w:tcPr>
          <w:p w14:paraId="4C584FE6" w14:textId="77777777" w:rsidR="004E15B0" w:rsidRPr="00E31146" w:rsidRDefault="004E15B0" w:rsidP="00493201">
            <w:pPr>
              <w:pStyle w:val="AuthorNames"/>
            </w:pPr>
            <w:r w:rsidRPr="00E31146">
              <w:t>42229.348</w:t>
            </w:r>
          </w:p>
        </w:tc>
        <w:tc>
          <w:tcPr>
            <w:tcW w:w="1260" w:type="dxa"/>
            <w:tcBorders>
              <w:top w:val="nil"/>
              <w:left w:val="nil"/>
              <w:bottom w:val="nil"/>
              <w:right w:val="nil"/>
            </w:tcBorders>
            <w:vAlign w:val="bottom"/>
          </w:tcPr>
          <w:p w14:paraId="72FE1B9E" w14:textId="77777777" w:rsidR="004E15B0" w:rsidRPr="00E31146" w:rsidRDefault="004E15B0" w:rsidP="00493201">
            <w:pPr>
              <w:pStyle w:val="AuthorNames"/>
            </w:pPr>
            <w:r w:rsidRPr="00E31146">
              <w:t>73.41</w:t>
            </w:r>
          </w:p>
        </w:tc>
        <w:tc>
          <w:tcPr>
            <w:tcW w:w="1440" w:type="dxa"/>
            <w:tcBorders>
              <w:top w:val="nil"/>
              <w:left w:val="nil"/>
              <w:bottom w:val="nil"/>
              <w:right w:val="nil"/>
            </w:tcBorders>
            <w:vAlign w:val="bottom"/>
          </w:tcPr>
          <w:p w14:paraId="19768046" w14:textId="77777777" w:rsidR="004E15B0" w:rsidRPr="00E31146" w:rsidRDefault="004E15B0" w:rsidP="00493201">
            <w:pPr>
              <w:pStyle w:val="AuthorNames"/>
            </w:pPr>
            <w:r w:rsidRPr="00E31146">
              <w:t>2824.76</w:t>
            </w:r>
          </w:p>
        </w:tc>
      </w:tr>
      <w:tr w:rsidR="004E15B0" w:rsidRPr="00E31146" w14:paraId="4C1FA1DD" w14:textId="77777777">
        <w:trPr>
          <w:trHeight w:val="233"/>
        </w:trPr>
        <w:tc>
          <w:tcPr>
            <w:tcW w:w="828" w:type="dxa"/>
            <w:tcBorders>
              <w:top w:val="nil"/>
              <w:left w:val="nil"/>
              <w:bottom w:val="nil"/>
              <w:right w:val="nil"/>
            </w:tcBorders>
          </w:tcPr>
          <w:p w14:paraId="623A586E" w14:textId="77777777" w:rsidR="004E15B0" w:rsidRPr="00E31146" w:rsidRDefault="004E15B0" w:rsidP="00493201">
            <w:r w:rsidRPr="00E31146">
              <w:t>c</w:t>
            </w:r>
          </w:p>
        </w:tc>
        <w:tc>
          <w:tcPr>
            <w:tcW w:w="540" w:type="dxa"/>
            <w:tcBorders>
              <w:top w:val="nil"/>
              <w:left w:val="nil"/>
              <w:bottom w:val="nil"/>
              <w:right w:val="nil"/>
            </w:tcBorders>
            <w:vAlign w:val="bottom"/>
          </w:tcPr>
          <w:p w14:paraId="735F54B1" w14:textId="77777777" w:rsidR="004E15B0" w:rsidRPr="00E31146" w:rsidRDefault="004E15B0" w:rsidP="00493201">
            <w:pPr>
              <w:jc w:val="center"/>
            </w:pPr>
            <w:r w:rsidRPr="00E31146">
              <w:t>2</w:t>
            </w:r>
          </w:p>
        </w:tc>
        <w:tc>
          <w:tcPr>
            <w:tcW w:w="540" w:type="dxa"/>
            <w:tcBorders>
              <w:top w:val="nil"/>
              <w:left w:val="nil"/>
              <w:bottom w:val="nil"/>
              <w:right w:val="nil"/>
            </w:tcBorders>
            <w:vAlign w:val="bottom"/>
          </w:tcPr>
          <w:p w14:paraId="2B40F740" w14:textId="77777777" w:rsidR="004E15B0" w:rsidRPr="00E31146" w:rsidRDefault="004E15B0" w:rsidP="00493201">
            <w:pPr>
              <w:jc w:val="center"/>
            </w:pPr>
            <w:r w:rsidRPr="00E31146">
              <w:t>R</w:t>
            </w:r>
            <w:r w:rsidRPr="00E31146">
              <w:rPr>
                <w:vertAlign w:val="subscript"/>
              </w:rPr>
              <w:t>21</w:t>
            </w:r>
          </w:p>
        </w:tc>
        <w:tc>
          <w:tcPr>
            <w:tcW w:w="720" w:type="dxa"/>
            <w:tcBorders>
              <w:top w:val="nil"/>
              <w:left w:val="nil"/>
              <w:bottom w:val="nil"/>
              <w:right w:val="nil"/>
            </w:tcBorders>
            <w:vAlign w:val="bottom"/>
          </w:tcPr>
          <w:p w14:paraId="765A09EB" w14:textId="77777777" w:rsidR="004E15B0" w:rsidRPr="00E31146" w:rsidRDefault="004E15B0" w:rsidP="00493201">
            <w:pPr>
              <w:jc w:val="center"/>
            </w:pPr>
            <w:r w:rsidRPr="00E31146">
              <w:t>805</w:t>
            </w:r>
          </w:p>
        </w:tc>
        <w:tc>
          <w:tcPr>
            <w:tcW w:w="1620" w:type="dxa"/>
            <w:tcBorders>
              <w:top w:val="nil"/>
              <w:left w:val="nil"/>
              <w:bottom w:val="nil"/>
              <w:right w:val="nil"/>
            </w:tcBorders>
            <w:vAlign w:val="bottom"/>
          </w:tcPr>
          <w:p w14:paraId="773B7AFF" w14:textId="77777777" w:rsidR="004E15B0" w:rsidRPr="00E31146" w:rsidRDefault="004E15B0" w:rsidP="00493201">
            <w:pPr>
              <w:jc w:val="center"/>
            </w:pPr>
            <w:r w:rsidRPr="00E31146">
              <w:t>40562.179</w:t>
            </w:r>
          </w:p>
        </w:tc>
        <w:tc>
          <w:tcPr>
            <w:tcW w:w="1260" w:type="dxa"/>
            <w:tcBorders>
              <w:top w:val="nil"/>
              <w:left w:val="nil"/>
              <w:bottom w:val="nil"/>
              <w:right w:val="nil"/>
            </w:tcBorders>
            <w:vAlign w:val="bottom"/>
          </w:tcPr>
          <w:p w14:paraId="3FEA87F1" w14:textId="77777777" w:rsidR="004E15B0" w:rsidRPr="00E31146" w:rsidRDefault="004E15B0" w:rsidP="00493201">
            <w:pPr>
              <w:jc w:val="center"/>
            </w:pPr>
            <w:r w:rsidRPr="00E31146">
              <w:t>71.37</w:t>
            </w:r>
          </w:p>
        </w:tc>
        <w:tc>
          <w:tcPr>
            <w:tcW w:w="1440" w:type="dxa"/>
            <w:tcBorders>
              <w:top w:val="nil"/>
              <w:left w:val="nil"/>
              <w:bottom w:val="nil"/>
              <w:right w:val="nil"/>
            </w:tcBorders>
            <w:vAlign w:val="bottom"/>
          </w:tcPr>
          <w:p w14:paraId="236DF368" w14:textId="77777777" w:rsidR="004E15B0" w:rsidRPr="00E31146" w:rsidRDefault="004E15B0" w:rsidP="00493201">
            <w:pPr>
              <w:jc w:val="center"/>
            </w:pPr>
            <w:r w:rsidRPr="00E31146">
              <w:t>4672.68</w:t>
            </w:r>
          </w:p>
        </w:tc>
      </w:tr>
      <w:tr w:rsidR="004E15B0" w:rsidRPr="00E31146" w14:paraId="59EA69B1" w14:textId="77777777">
        <w:trPr>
          <w:trHeight w:val="250"/>
        </w:trPr>
        <w:tc>
          <w:tcPr>
            <w:tcW w:w="828" w:type="dxa"/>
            <w:tcBorders>
              <w:top w:val="nil"/>
              <w:left w:val="nil"/>
              <w:bottom w:val="double" w:sz="4" w:space="0" w:color="auto"/>
              <w:right w:val="nil"/>
            </w:tcBorders>
          </w:tcPr>
          <w:p w14:paraId="74918741" w14:textId="77777777" w:rsidR="004E15B0" w:rsidRPr="00E31146" w:rsidRDefault="004E15B0" w:rsidP="00493201">
            <w:r w:rsidRPr="00E31146">
              <w:t>d</w:t>
            </w:r>
          </w:p>
        </w:tc>
        <w:tc>
          <w:tcPr>
            <w:tcW w:w="540" w:type="dxa"/>
            <w:tcBorders>
              <w:top w:val="nil"/>
              <w:left w:val="nil"/>
              <w:bottom w:val="double" w:sz="4" w:space="0" w:color="auto"/>
              <w:right w:val="nil"/>
            </w:tcBorders>
            <w:vAlign w:val="bottom"/>
          </w:tcPr>
          <w:p w14:paraId="0DFEBF01" w14:textId="77777777" w:rsidR="004E15B0" w:rsidRPr="00E31146" w:rsidRDefault="004E15B0" w:rsidP="00493201">
            <w:pPr>
              <w:jc w:val="center"/>
            </w:pPr>
            <w:r w:rsidRPr="00E31146">
              <w:t>0</w:t>
            </w:r>
          </w:p>
        </w:tc>
        <w:tc>
          <w:tcPr>
            <w:tcW w:w="540" w:type="dxa"/>
            <w:tcBorders>
              <w:top w:val="nil"/>
              <w:left w:val="nil"/>
              <w:bottom w:val="double" w:sz="4" w:space="0" w:color="auto"/>
              <w:right w:val="nil"/>
            </w:tcBorders>
            <w:vAlign w:val="bottom"/>
          </w:tcPr>
          <w:p w14:paraId="00F23C8B" w14:textId="77777777" w:rsidR="004E15B0" w:rsidRPr="00E31146" w:rsidRDefault="004E15B0" w:rsidP="00493201">
            <w:pPr>
              <w:jc w:val="center"/>
            </w:pPr>
            <w:r w:rsidRPr="00E31146">
              <w:t>R</w:t>
            </w:r>
            <w:r w:rsidRPr="00E31146">
              <w:rPr>
                <w:vertAlign w:val="subscript"/>
              </w:rPr>
              <w:t>2</w:t>
            </w:r>
          </w:p>
        </w:tc>
        <w:tc>
          <w:tcPr>
            <w:tcW w:w="720" w:type="dxa"/>
            <w:tcBorders>
              <w:top w:val="nil"/>
              <w:left w:val="nil"/>
              <w:bottom w:val="double" w:sz="4" w:space="0" w:color="auto"/>
              <w:right w:val="nil"/>
            </w:tcBorders>
            <w:vAlign w:val="bottom"/>
          </w:tcPr>
          <w:p w14:paraId="6809564B" w14:textId="77777777" w:rsidR="004E15B0" w:rsidRPr="00E31146" w:rsidRDefault="004E15B0" w:rsidP="00493201">
            <w:pPr>
              <w:jc w:val="center"/>
            </w:pPr>
            <w:r w:rsidRPr="00E31146">
              <w:t>23.5</w:t>
            </w:r>
          </w:p>
        </w:tc>
        <w:tc>
          <w:tcPr>
            <w:tcW w:w="1620" w:type="dxa"/>
            <w:tcBorders>
              <w:top w:val="nil"/>
              <w:left w:val="nil"/>
              <w:bottom w:val="double" w:sz="4" w:space="0" w:color="auto"/>
              <w:right w:val="nil"/>
            </w:tcBorders>
            <w:vAlign w:val="bottom"/>
          </w:tcPr>
          <w:p w14:paraId="4940651F" w14:textId="77777777" w:rsidR="004E15B0" w:rsidRPr="00E31146" w:rsidRDefault="004E15B0" w:rsidP="00493201">
            <w:pPr>
              <w:jc w:val="center"/>
            </w:pPr>
            <w:r w:rsidRPr="00E31146">
              <w:t>42516.527</w:t>
            </w:r>
          </w:p>
        </w:tc>
        <w:tc>
          <w:tcPr>
            <w:tcW w:w="1260" w:type="dxa"/>
            <w:tcBorders>
              <w:top w:val="nil"/>
              <w:left w:val="nil"/>
              <w:bottom w:val="double" w:sz="4" w:space="0" w:color="auto"/>
              <w:right w:val="nil"/>
            </w:tcBorders>
            <w:vAlign w:val="bottom"/>
          </w:tcPr>
          <w:p w14:paraId="46742E74" w14:textId="77777777" w:rsidR="004E15B0" w:rsidRPr="00E31146" w:rsidRDefault="004E15B0" w:rsidP="00493201">
            <w:pPr>
              <w:jc w:val="center"/>
            </w:pPr>
            <w:r w:rsidRPr="00E31146">
              <w:t>1045.85</w:t>
            </w:r>
          </w:p>
        </w:tc>
        <w:tc>
          <w:tcPr>
            <w:tcW w:w="1440" w:type="dxa"/>
            <w:tcBorders>
              <w:top w:val="nil"/>
              <w:left w:val="nil"/>
              <w:bottom w:val="double" w:sz="4" w:space="0" w:color="auto"/>
              <w:right w:val="nil"/>
            </w:tcBorders>
            <w:vAlign w:val="bottom"/>
          </w:tcPr>
          <w:p w14:paraId="7226E9F6" w14:textId="77777777" w:rsidR="004E15B0" w:rsidRPr="00E31146" w:rsidRDefault="004E15B0" w:rsidP="00493201">
            <w:pPr>
              <w:jc w:val="center"/>
            </w:pPr>
            <w:r w:rsidRPr="00E31146">
              <w:t>948.76</w:t>
            </w:r>
          </w:p>
        </w:tc>
      </w:tr>
    </w:tbl>
    <w:p w14:paraId="10E597BA" w14:textId="77777777" w:rsidR="00795FE9" w:rsidRPr="00E31146" w:rsidRDefault="00795FE9" w:rsidP="00493201">
      <w:pPr>
        <w:jc w:val="center"/>
        <w:rPr>
          <w:noProof/>
        </w:rPr>
      </w:pPr>
    </w:p>
    <w:p w14:paraId="52FA67AD" w14:textId="77777777" w:rsidR="00795FE9" w:rsidRPr="00E31146" w:rsidRDefault="00795FE9" w:rsidP="00493201">
      <w:pPr>
        <w:jc w:val="center"/>
        <w:rPr>
          <w:noProof/>
        </w:rPr>
      </w:pPr>
    </w:p>
    <w:p w14:paraId="6B683F06" w14:textId="77777777" w:rsidR="00795FE9" w:rsidRPr="00E31146" w:rsidRDefault="00795FE9" w:rsidP="00493201">
      <w:pPr>
        <w:jc w:val="center"/>
        <w:rPr>
          <w:noProof/>
        </w:rPr>
      </w:pPr>
    </w:p>
    <w:p w14:paraId="1946A798" w14:textId="69EADD78" w:rsidR="004E15B0" w:rsidRPr="00E31146" w:rsidRDefault="00493201" w:rsidP="00493201">
      <w:pPr>
        <w:jc w:val="center"/>
      </w:pPr>
      <w:r>
        <w:rPr>
          <w:noProof/>
        </w:rPr>
        <w:drawing>
          <wp:inline distT="0" distB="0" distL="0" distR="0" wp14:anchorId="007D895D" wp14:editId="310D6510">
            <wp:extent cx="3172460" cy="2401570"/>
            <wp:effectExtent l="0" t="0" r="0" b="0"/>
            <wp:docPr id="1" name="Picture 1" descr="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2460" cy="2401570"/>
                    </a:xfrm>
                    <a:prstGeom prst="rect">
                      <a:avLst/>
                    </a:prstGeom>
                    <a:noFill/>
                    <a:ln>
                      <a:noFill/>
                    </a:ln>
                  </pic:spPr>
                </pic:pic>
              </a:graphicData>
            </a:graphic>
          </wp:inline>
        </w:drawing>
      </w:r>
    </w:p>
    <w:p w14:paraId="46982099" w14:textId="77777777" w:rsidR="004E15B0" w:rsidRPr="00E31146" w:rsidRDefault="004E15B0" w:rsidP="00493201">
      <w:pPr>
        <w:pStyle w:val="Caption"/>
        <w:jc w:val="center"/>
      </w:pPr>
      <w:r w:rsidRPr="00E31146">
        <w:t xml:space="preserve">Fig. </w:t>
      </w:r>
      <w:r w:rsidR="00043D42">
        <w:rPr>
          <w:noProof/>
        </w:rPr>
        <w:fldChar w:fldCharType="begin"/>
      </w:r>
      <w:r w:rsidR="00043D42">
        <w:rPr>
          <w:noProof/>
        </w:rPr>
        <w:instrText xml:space="preserve"> SEQ Fig. \* ARABIC </w:instrText>
      </w:r>
      <w:r w:rsidR="00043D42">
        <w:rPr>
          <w:noProof/>
        </w:rPr>
        <w:fldChar w:fldCharType="separate"/>
      </w:r>
      <w:r w:rsidR="00241145">
        <w:rPr>
          <w:noProof/>
        </w:rPr>
        <w:t>1</w:t>
      </w:r>
      <w:r w:rsidR="00043D42">
        <w:rPr>
          <w:noProof/>
        </w:rPr>
        <w:fldChar w:fldCharType="end"/>
      </w:r>
      <w:r w:rsidRPr="00E31146">
        <w:tab/>
        <w:t>Magnetization as a function of applied fields.</w:t>
      </w:r>
    </w:p>
    <w:p w14:paraId="55277821" w14:textId="77777777" w:rsidR="004E15B0" w:rsidRPr="00E31146" w:rsidRDefault="004E15B0" w:rsidP="00493201">
      <w:pPr>
        <w:pStyle w:val="Text"/>
        <w:spacing w:line="240" w:lineRule="auto"/>
        <w:ind w:firstLine="0"/>
      </w:pPr>
    </w:p>
    <w:p w14:paraId="66386F11" w14:textId="77777777" w:rsidR="004E15B0" w:rsidRPr="00E31146" w:rsidRDefault="001056B8" w:rsidP="00493201">
      <w:pPr>
        <w:ind w:firstLine="288"/>
      </w:pPr>
      <w:r w:rsidRPr="00E31146">
        <w:t>Line drawings must be clear and sharp. Make sure that all lines and graph points are dark and distinct and that lettering is legible</w:t>
      </w:r>
      <w:r w:rsidR="00C82429">
        <w:t xml:space="preserve">. </w:t>
      </w:r>
      <w:r w:rsidRPr="00E31146">
        <w:t>Keep the lettering size and style uniform both within each figure and throughout all of your illustrations</w:t>
      </w:r>
      <w:r w:rsidR="00C82429">
        <w:t>, no smaller than 8- to 10-point type for artwork that is sized to fit the column width (3 ¼ in.) or the full</w:t>
      </w:r>
      <w:r w:rsidR="00B3617F">
        <w:t>-</w:t>
      </w:r>
      <w:r w:rsidR="00C82429">
        <w:t>page width (7 in.)</w:t>
      </w:r>
      <w:r w:rsidRPr="00E31146">
        <w:t xml:space="preserve">. Place figure captions below each figure, and limit </w:t>
      </w:r>
      <w:r w:rsidR="00C82429">
        <w:t xml:space="preserve">main </w:t>
      </w:r>
      <w:r w:rsidRPr="00E31146">
        <w:t>caption length to 20-25 words. If your figure has multiple parts, include the labels “a),” “b),” etc., below and to the left of each part, above the figure caption. Please verify that the figures and tables you mention in the text actually exist. When citing a figure in the text, use the abbreviation “Fig.” except at the beginning of a sentence. Do not abbreviate “Table.” Number each different type of illustration (i.e., figures and tables) sequentially with relation to other illustrations of the same type.</w:t>
      </w:r>
      <w:r w:rsidR="00043D42">
        <w:t xml:space="preserve"> </w:t>
      </w:r>
      <w:r w:rsidR="004E15B0" w:rsidRPr="00E31146">
        <w:t>Figure</w:t>
      </w:r>
      <w:r w:rsidR="00C82429">
        <w:t>s that are slightly larger than the column width will be reduced in size to fit, so ensure that</w:t>
      </w:r>
      <w:r w:rsidR="004E15B0" w:rsidRPr="00E31146">
        <w:t xml:space="preserve"> labels </w:t>
      </w:r>
      <w:r w:rsidR="00C82429">
        <w:t>remain</w:t>
      </w:r>
      <w:r w:rsidR="004E15B0" w:rsidRPr="00E31146">
        <w:t xml:space="preserve"> legible after reduction</w:t>
      </w:r>
      <w:r w:rsidRPr="00E31146">
        <w:t xml:space="preserve"> to column width ( 8- to 10-points</w:t>
      </w:r>
      <w:r w:rsidR="004E15B0" w:rsidRPr="00E31146">
        <w:t xml:space="preserve"> after reduction). </w:t>
      </w:r>
    </w:p>
    <w:p w14:paraId="1E09BA4A" w14:textId="77777777" w:rsidR="001056B8" w:rsidRPr="00E31146" w:rsidRDefault="001056B8" w:rsidP="00493201">
      <w:pPr>
        <w:pStyle w:val="Text"/>
        <w:spacing w:line="240" w:lineRule="auto"/>
      </w:pPr>
      <w:r w:rsidRPr="00E31146">
        <w:t>All tables are numbered consecutively and must be cited in the text; give each table a definitive title. Be sure that you have a minimum of two columns (with headings) and two rows to constitute a proper table; otherwise reformat as a displayed list or incorporate the data into the text. Plan tables to fit the column width (3 ¼ in.) or the journal page width (7 in.). Position a double rule at the top and bottom of each table and single rule under the column headings; do not use shading, border lines, or vertical rules between table columns. Position each table in the text close to where it is cited</w:t>
      </w:r>
    </w:p>
    <w:p w14:paraId="763C7DEC" w14:textId="77777777" w:rsidR="004E15B0" w:rsidRPr="00E31146" w:rsidRDefault="004E15B0" w:rsidP="00493201">
      <w:pPr>
        <w:pStyle w:val="Heading2"/>
      </w:pPr>
      <w:r w:rsidRPr="00E31146">
        <w:t>Equations</w:t>
      </w:r>
    </w:p>
    <w:p w14:paraId="09B7CD29" w14:textId="77777777" w:rsidR="004E15B0" w:rsidRPr="00E31146" w:rsidRDefault="004E15B0" w:rsidP="00493201">
      <w:pPr>
        <w:pStyle w:val="Text"/>
        <w:spacing w:line="240" w:lineRule="auto"/>
      </w:pPr>
      <w:r w:rsidRPr="00E31146">
        <w:t>Equations are numbered consecutively, with equation numbers in parentheses flush right, as in Eq. (1). Insert a blank line both above and below the equation. First use the equation editor to create the equation. If you are using Microsoft Word, use either the Microsoft Equation Editor or the MathType add-on (</w:t>
      </w:r>
      <w:hyperlink r:id="rId9" w:history="1">
        <w:r w:rsidRPr="00E31146">
          <w:rPr>
            <w:rStyle w:val="Hyperlink"/>
          </w:rPr>
          <w:t>http://www.mathtype.com</w:t>
        </w:r>
      </w:hyperlink>
      <w:r w:rsidRPr="00E31146">
        <w:t xml:space="preserve">) for equations in your paper, use the function (Insert&gt;Object&gt;Create New&gt;Microsoft Equation </w:t>
      </w:r>
      <w:r w:rsidRPr="00E31146">
        <w:rPr>
          <w:i/>
        </w:rPr>
        <w:t>or</w:t>
      </w:r>
      <w:r w:rsidRPr="00E31146">
        <w:t xml:space="preserve"> MathType Equation) to insert it into the document. Please note that “Float over text” should </w:t>
      </w:r>
      <w:r w:rsidRPr="00E31146">
        <w:rPr>
          <w:i/>
        </w:rPr>
        <w:t>not</w:t>
      </w:r>
      <w:r w:rsidRPr="00E31146">
        <w:t xml:space="preserve"> be selected. To insert the equation into the document, do the following:</w:t>
      </w:r>
    </w:p>
    <w:p w14:paraId="6B464C46" w14:textId="77777777" w:rsidR="004E15B0" w:rsidRPr="00E31146" w:rsidRDefault="004E15B0" w:rsidP="00493201">
      <w:pPr>
        <w:pStyle w:val="Text"/>
        <w:numPr>
          <w:ilvl w:val="5"/>
          <w:numId w:val="20"/>
        </w:numPr>
        <w:spacing w:line="240" w:lineRule="auto"/>
      </w:pPr>
      <w:r w:rsidRPr="00E31146">
        <w:t>Select the “Equation” style from the pull-down formatting menu, and hit “tab” once.</w:t>
      </w:r>
    </w:p>
    <w:p w14:paraId="02E903FB" w14:textId="77777777" w:rsidR="004E15B0" w:rsidRPr="00E31146" w:rsidRDefault="004E15B0" w:rsidP="00493201">
      <w:pPr>
        <w:pStyle w:val="Text"/>
        <w:numPr>
          <w:ilvl w:val="5"/>
          <w:numId w:val="20"/>
        </w:numPr>
        <w:spacing w:line="240" w:lineRule="auto"/>
      </w:pPr>
      <w:r w:rsidRPr="00E31146">
        <w:t>Insert the equation, and hit “tab” again.</w:t>
      </w:r>
    </w:p>
    <w:p w14:paraId="404A730C" w14:textId="77777777" w:rsidR="004E15B0" w:rsidRPr="00E31146" w:rsidRDefault="004E15B0" w:rsidP="00493201">
      <w:pPr>
        <w:pStyle w:val="Text"/>
        <w:numPr>
          <w:ilvl w:val="5"/>
          <w:numId w:val="20"/>
        </w:numPr>
        <w:spacing w:line="240" w:lineRule="auto"/>
      </w:pPr>
      <w:r w:rsidRPr="00E31146">
        <w:t>Enter the equation number in parentheses.</w:t>
      </w:r>
    </w:p>
    <w:p w14:paraId="032C7C6A" w14:textId="77777777" w:rsidR="004E15B0" w:rsidRPr="00E31146" w:rsidRDefault="004E15B0" w:rsidP="00493201">
      <w:pPr>
        <w:pStyle w:val="Text"/>
        <w:spacing w:line="240" w:lineRule="auto"/>
        <w:ind w:firstLine="0"/>
      </w:pPr>
      <w:r w:rsidRPr="00E31146">
        <w:tab/>
        <w:t>A sample equation is included here, formatted using the preceding instructions:</w:t>
      </w:r>
    </w:p>
    <w:p w14:paraId="5CADABF3" w14:textId="77777777" w:rsidR="004E15B0" w:rsidRPr="00E31146" w:rsidRDefault="004E15B0" w:rsidP="00493201">
      <w:pPr>
        <w:pStyle w:val="Equation"/>
      </w:pPr>
      <w:r w:rsidRPr="00E31146">
        <w:tab/>
      </w:r>
      <w:r w:rsidR="00436EA7" w:rsidRPr="00E31146">
        <w:rPr>
          <w:noProof/>
          <w:position w:val="-14"/>
        </w:rPr>
        <w:object w:dxaOrig="6840" w:dyaOrig="400" w14:anchorId="6B0B7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1.85pt;height:19.4pt" o:ole=""/>
          <o:OLEObject Type="Embed" ProgID="Equation.3" ShapeID="_x0000_i1026" DrawAspect="Content" ObjectID="_1804463892" r:id="rId10"/>
        </w:object>
      </w:r>
      <w:r w:rsidRPr="00E31146">
        <w:tab/>
        <w:t>(1)</w:t>
      </w:r>
    </w:p>
    <w:p w14:paraId="0DAA6106" w14:textId="77777777" w:rsidR="004E15B0" w:rsidRPr="00E31146" w:rsidRDefault="004E15B0" w:rsidP="00493201">
      <w:pPr>
        <w:pStyle w:val="Text"/>
        <w:spacing w:line="240" w:lineRule="auto"/>
      </w:pPr>
      <w:r w:rsidRPr="00E31146">
        <w:lastRenderedPageBreak/>
        <w:t>Be sure that symbols in your equation are defined in the Nomenclature or immediately following the equation. Also define abbreviations and acronyms the first time they are used in the main text. (Very common abbreviations such as AIAA and NASA, do not have to be defined.)</w:t>
      </w:r>
    </w:p>
    <w:p w14:paraId="5C58E231" w14:textId="77777777" w:rsidR="004E15B0" w:rsidRPr="00E31146" w:rsidRDefault="004E15B0" w:rsidP="00493201">
      <w:pPr>
        <w:pStyle w:val="Heading2"/>
      </w:pPr>
      <w:r w:rsidRPr="00E31146">
        <w:t>General Grammar and Preferred Usage</w:t>
      </w:r>
    </w:p>
    <w:p w14:paraId="58EA68C9" w14:textId="77777777" w:rsidR="004E15B0" w:rsidRPr="00E31146" w:rsidRDefault="004E15B0" w:rsidP="00493201">
      <w:pPr>
        <w:pStyle w:val="Text"/>
        <w:spacing w:line="240" w:lineRule="auto"/>
      </w:pPr>
      <w:r w:rsidRPr="00E31146">
        <w:t>Use only one space after periods or colons. Hyphenate complex modifiers: “zero-field-cooled magnetization.” Insert a zero before decimal points: “0.25,” not “.25.” Use “cm</w:t>
      </w:r>
      <w:r w:rsidRPr="00E31146">
        <w:rPr>
          <w:vertAlign w:val="superscript"/>
        </w:rPr>
        <w:t>2</w:t>
      </w:r>
      <w:r w:rsidRPr="00E31146">
        <w:t xml:space="preserve">,” not “cc.” </w:t>
      </w:r>
    </w:p>
    <w:p w14:paraId="33C2D1F1" w14:textId="77777777" w:rsidR="004E15B0" w:rsidRPr="00E31146" w:rsidRDefault="004E15B0" w:rsidP="00493201">
      <w:pPr>
        <w:pStyle w:val="Text"/>
        <w:spacing w:line="240" w:lineRule="auto"/>
      </w:pPr>
      <w:r w:rsidRPr="00E31146">
        <w:t>A parenthetical statement at the end of a sentence is punctuated outside of the closing parenthesis (like this). (A parenthetical sentence is punctuated within parenthesis.) Use American, not English, spellings (e.g., “color,” not “colour”). The serial comma is preferred: “A, B, and C” instead of “A, B and C.”</w:t>
      </w:r>
    </w:p>
    <w:p w14:paraId="53FCEC1B" w14:textId="77777777" w:rsidR="004E15B0" w:rsidRPr="00E31146" w:rsidRDefault="004E15B0" w:rsidP="00493201">
      <w:pPr>
        <w:pStyle w:val="Text"/>
        <w:spacing w:line="240" w:lineRule="auto"/>
      </w:pPr>
      <w:r w:rsidRPr="00E31146">
        <w:t>Be aware of the different meanings of the homophones “affect” (usually a verb) and “effect” (usually a noun), “complement” and “compliment,” “discreet” and “discrete,” “principal” (e.g., “principal investigator”) and “principle” (e.g., “principle of measurement”). Do not confuse “imply” and “infer.”</w:t>
      </w:r>
    </w:p>
    <w:p w14:paraId="28FAB4AE" w14:textId="77777777" w:rsidR="005B5BE2" w:rsidRPr="00E31146" w:rsidRDefault="00B3617F" w:rsidP="00493201">
      <w:pPr>
        <w:pStyle w:val="Heading1"/>
        <w:spacing w:after="60"/>
      </w:pPr>
      <w:r>
        <w:t xml:space="preserve"> </w:t>
      </w:r>
      <w:r w:rsidR="005B5BE2" w:rsidRPr="00E31146">
        <w:t>Conclusion</w:t>
      </w:r>
    </w:p>
    <w:p w14:paraId="34F24E21" w14:textId="77777777" w:rsidR="00945EF4" w:rsidRPr="00E31146" w:rsidRDefault="00945EF4" w:rsidP="00493201">
      <w:pPr>
        <w:pStyle w:val="Text"/>
        <w:spacing w:line="240" w:lineRule="auto"/>
      </w:pPr>
      <w:r w:rsidRPr="00E31146">
        <w:t>Although a conclusion may review the main points of the paper, it must not replicate the abstract. A conclusion might elaborate on the importance of the work or suggest applications and extensions. Do not cite references in the conclusion. Note that the conclusion section is the last section of the paper to be numbered. The appendix (if present), funding information, other acknowledgments, and references are listed without numbers.</w:t>
      </w:r>
    </w:p>
    <w:p w14:paraId="4EAC1670" w14:textId="77777777" w:rsidR="005B5BE2" w:rsidRPr="00E31146" w:rsidRDefault="005B5BE2" w:rsidP="00493201">
      <w:pPr>
        <w:pStyle w:val="Heading1"/>
        <w:numPr>
          <w:ilvl w:val="0"/>
          <w:numId w:val="0"/>
        </w:numPr>
      </w:pPr>
      <w:r w:rsidRPr="00E31146">
        <w:t>Appendix</w:t>
      </w:r>
    </w:p>
    <w:p w14:paraId="3AE5A758" w14:textId="77777777" w:rsidR="00945EF4" w:rsidRPr="00E31146" w:rsidRDefault="00945EF4" w:rsidP="00493201">
      <w:pPr>
        <w:pStyle w:val="Text"/>
        <w:spacing w:line="240" w:lineRule="auto"/>
        <w:ind w:firstLine="0"/>
      </w:pPr>
      <w:r w:rsidRPr="00E31146">
        <w:tab/>
        <w:t xml:space="preserve">An Appendix, if needed, appears </w:t>
      </w:r>
      <w:r w:rsidRPr="00E31146">
        <w:rPr>
          <w:b/>
          <w:u w:val="single"/>
        </w:rPr>
        <w:t>before</w:t>
      </w:r>
      <w:r w:rsidRPr="00E31146">
        <w:t xml:space="preserve"> research funding information and other acknowledgments.</w:t>
      </w:r>
    </w:p>
    <w:p w14:paraId="24F07E79" w14:textId="77777777" w:rsidR="005B5BE2" w:rsidRPr="00E31146" w:rsidRDefault="005B5BE2" w:rsidP="00493201">
      <w:pPr>
        <w:pStyle w:val="Heading1"/>
        <w:numPr>
          <w:ilvl w:val="0"/>
          <w:numId w:val="0"/>
        </w:numPr>
      </w:pPr>
      <w:r w:rsidRPr="00E31146">
        <w:t>References</w:t>
      </w:r>
    </w:p>
    <w:p w14:paraId="46E684BE" w14:textId="77777777" w:rsidR="004E15B0" w:rsidRPr="00E31146" w:rsidRDefault="004E15B0" w:rsidP="00493201">
      <w:pPr>
        <w:pStyle w:val="References"/>
        <w:spacing w:before="240"/>
        <w:ind w:firstLine="0"/>
        <w:rPr>
          <w:sz w:val="20"/>
        </w:rPr>
      </w:pPr>
      <w:r w:rsidRPr="00E31146">
        <w:rPr>
          <w:i/>
          <w:sz w:val="20"/>
        </w:rPr>
        <w:t>Reports, Theses, and Individual Papers</w:t>
      </w:r>
    </w:p>
    <w:p w14:paraId="147F443E" w14:textId="77777777" w:rsidR="004E15B0" w:rsidRPr="00E31146" w:rsidRDefault="004E15B0" w:rsidP="00493201">
      <w:pPr>
        <w:pStyle w:val="References"/>
        <w:ind w:firstLine="0"/>
      </w:pPr>
      <w:r w:rsidRPr="00E31146">
        <w:t>[1</w:t>
      </w:r>
      <w:r w:rsidR="00780BC0" w:rsidRPr="00E31146">
        <w:t>1</w:t>
      </w:r>
      <w:r w:rsidRPr="00E31146">
        <w:t xml:space="preserve">] </w:t>
      </w:r>
      <w:r w:rsidR="005119F8" w:rsidRPr="00E31146">
        <w:t xml:space="preserve"> </w:t>
      </w:r>
      <w:r w:rsidRPr="00E31146">
        <w:t>Chapman, G. T., and Tobak, M., “Nonlinear Problems in Flight Dynamics,” NASA TM-85940, 1984.</w:t>
      </w:r>
    </w:p>
    <w:p w14:paraId="7169C27B" w14:textId="77777777" w:rsidR="005119F8" w:rsidRPr="00E31146" w:rsidRDefault="00780BC0" w:rsidP="00493201">
      <w:pPr>
        <w:pStyle w:val="References"/>
        <w:ind w:left="450" w:hanging="450"/>
      </w:pPr>
      <w:r w:rsidRPr="00E31146">
        <w:t>[12</w:t>
      </w:r>
      <w:r w:rsidR="005119F8" w:rsidRPr="00E31146">
        <w:t>]  Brandis, A. M., Johnston, C. O., and Cruden, B. A., “Nonequilibrium Radiation for Earth Entry,” AIAA Paper 2016-3690, June 2016.</w:t>
      </w:r>
    </w:p>
    <w:p w14:paraId="0156DF39" w14:textId="77777777" w:rsidR="004E15B0" w:rsidRPr="00E31146" w:rsidRDefault="004E15B0" w:rsidP="00493201">
      <w:pPr>
        <w:pStyle w:val="References"/>
        <w:ind w:left="432" w:hanging="432"/>
      </w:pPr>
      <w:r w:rsidRPr="00E31146">
        <w:t>[1</w:t>
      </w:r>
      <w:r w:rsidR="00780BC0" w:rsidRPr="00E31146">
        <w:t>3</w:t>
      </w:r>
      <w:r w:rsidRPr="00E31146">
        <w:t>] Steger, J. L., Jr., Nietubicz, C. J., and Heavey, J. E., “A General Curvilinear Grid Generation Program for Projectile Configurations,” U.S. Army Ballistic Research Lab., Rept. ARBRL-MR03142, Aberdeen Proving Ground, MD, Oct. 1981.</w:t>
      </w:r>
    </w:p>
    <w:p w14:paraId="7CBE4EF7" w14:textId="77777777" w:rsidR="004E15B0" w:rsidRPr="00E31146" w:rsidRDefault="004E15B0" w:rsidP="00493201">
      <w:pPr>
        <w:pStyle w:val="References"/>
        <w:ind w:left="432" w:hanging="432"/>
      </w:pPr>
      <w:r w:rsidRPr="00E31146">
        <w:t>[1</w:t>
      </w:r>
      <w:r w:rsidR="00780BC0" w:rsidRPr="00E31146">
        <w:t>4</w:t>
      </w:r>
      <w:r w:rsidRPr="00E31146">
        <w:t>] Tseng, K., “Nonlinear Green’s Function Method for Transonic Potential Flow,” Ph.D. Dissertation, Aeronautics and Astronautics Dept., Boston Univ., Cambridge, MA, 1983.</w:t>
      </w:r>
    </w:p>
    <w:p w14:paraId="2BE861F4" w14:textId="77777777" w:rsidR="004E15B0" w:rsidRPr="00E31146" w:rsidRDefault="004E15B0" w:rsidP="00493201">
      <w:pPr>
        <w:pStyle w:val="References"/>
        <w:rPr>
          <w:sz w:val="20"/>
        </w:rPr>
      </w:pPr>
      <w:r w:rsidRPr="00E31146">
        <w:rPr>
          <w:sz w:val="20"/>
        </w:rPr>
        <w:t xml:space="preserve">Government agency reports do not require locations. For reports such as NASA TM-85940, neither insert nor delete dashes; leave them as provided. Place of publication </w:t>
      </w:r>
      <w:r w:rsidRPr="00E31146">
        <w:rPr>
          <w:i/>
          <w:sz w:val="20"/>
        </w:rPr>
        <w:t>should</w:t>
      </w:r>
      <w:r w:rsidRPr="00E31146">
        <w:rPr>
          <w:sz w:val="20"/>
        </w:rPr>
        <w:t xml:space="preserve"> be given, although it is not mandatory, for military and company reports. Always include a city and state for universities. Papers need only the name of the sponsor; neither the sponsor’s location nor the conference name and location is required. </w:t>
      </w:r>
      <w:r w:rsidRPr="00E31146">
        <w:rPr>
          <w:i/>
          <w:sz w:val="20"/>
        </w:rPr>
        <w:t>Do not confuse proceedings references with conference papers</w:t>
      </w:r>
      <w:r w:rsidRPr="00E31146">
        <w:rPr>
          <w:sz w:val="20"/>
        </w:rPr>
        <w:t>.</w:t>
      </w:r>
    </w:p>
    <w:p w14:paraId="0D029533" w14:textId="77777777" w:rsidR="004E15B0" w:rsidRPr="00E31146" w:rsidRDefault="004E15B0" w:rsidP="00493201">
      <w:pPr>
        <w:pStyle w:val="References"/>
        <w:spacing w:before="240"/>
        <w:ind w:firstLine="0"/>
        <w:rPr>
          <w:i/>
          <w:sz w:val="20"/>
        </w:rPr>
      </w:pPr>
      <w:r w:rsidRPr="00E31146">
        <w:rPr>
          <w:i/>
          <w:sz w:val="20"/>
        </w:rPr>
        <w:t>Electronic Publications</w:t>
      </w:r>
    </w:p>
    <w:p w14:paraId="37228AE9" w14:textId="0DB6ED09" w:rsidR="004E15B0" w:rsidRPr="00E31146" w:rsidRDefault="00780BC0" w:rsidP="00493201">
      <w:pPr>
        <w:pStyle w:val="References"/>
      </w:pPr>
      <w:r w:rsidRPr="00E31146">
        <w:rPr>
          <w:sz w:val="20"/>
        </w:rPr>
        <w:t>Regularly</w:t>
      </w:r>
      <w:r w:rsidR="004E15B0" w:rsidRPr="00E31146">
        <w:rPr>
          <w:sz w:val="20"/>
        </w:rPr>
        <w:t xml:space="preserve"> issued electronic journals</w:t>
      </w:r>
      <w:r w:rsidRPr="00E31146">
        <w:rPr>
          <w:sz w:val="20"/>
        </w:rPr>
        <w:t xml:space="preserve"> and other publications</w:t>
      </w:r>
      <w:r w:rsidR="004E15B0" w:rsidRPr="00E31146">
        <w:rPr>
          <w:sz w:val="20"/>
        </w:rPr>
        <w:t xml:space="preserve"> are permitted as references.</w:t>
      </w:r>
      <w:r w:rsidRPr="00E31146">
        <w:rPr>
          <w:sz w:val="20"/>
        </w:rPr>
        <w:t xml:space="preserve"> Include the doi if provided</w:t>
      </w:r>
      <w:r w:rsidR="0056352D">
        <w:rPr>
          <w:sz w:val="20"/>
        </w:rPr>
        <w:t>,</w:t>
      </w:r>
      <w:r w:rsidRPr="00E31146">
        <w:rPr>
          <w:sz w:val="20"/>
        </w:rPr>
        <w:t xml:space="preserve"> </w:t>
      </w:r>
      <w:r w:rsidR="0056352D" w:rsidRPr="0056352D">
        <w:rPr>
          <w:color w:val="242424"/>
          <w:sz w:val="20"/>
          <w:shd w:val="clear" w:color="auto" w:fill="FFFFFF"/>
        </w:rPr>
        <w:t>adding it to the end of</w:t>
      </w:r>
      <w:r w:rsidR="006E1D2F">
        <w:rPr>
          <w:color w:val="242424"/>
          <w:sz w:val="20"/>
          <w:shd w:val="clear" w:color="auto" w:fill="FFFFFF"/>
        </w:rPr>
        <w:t xml:space="preserve"> </w:t>
      </w:r>
      <w:hyperlink r:id="rId11" w:history="1">
        <w:r w:rsidR="006E1D2F" w:rsidRPr="000B5B0D">
          <w:rPr>
            <w:rStyle w:val="Hyperlink"/>
            <w:bdr w:val="none" w:sz="0" w:space="0" w:color="auto" w:frame="1"/>
            <w:shd w:val="clear" w:color="auto" w:fill="FFFFFF"/>
          </w:rPr>
          <w:t>https://doi.org/</w:t>
        </w:r>
      </w:hyperlink>
      <w:r w:rsidR="0056352D" w:rsidRPr="0056352D">
        <w:rPr>
          <w:color w:val="242424"/>
          <w:sz w:val="20"/>
          <w:shd w:val="clear" w:color="auto" w:fill="FFFFFF"/>
        </w:rPr>
        <w:t> to form a URL; otherwise provide the full URL of the electronic publication</w:t>
      </w:r>
      <w:r w:rsidRPr="00E31146">
        <w:rPr>
          <w:sz w:val="20"/>
        </w:rPr>
        <w:t>.</w:t>
      </w:r>
      <w:r w:rsidR="004E15B0" w:rsidRPr="00E31146">
        <w:rPr>
          <w:sz w:val="20"/>
        </w:rPr>
        <w:t xml:space="preserve"> Archived data sets also may be referenced as long as the material is openly accessible and the repository is committed to archiving the data indefinitely. References to electronic data available only from personal </w:t>
      </w:r>
      <w:r w:rsidRPr="00E31146">
        <w:rPr>
          <w:sz w:val="20"/>
        </w:rPr>
        <w:t>w</w:t>
      </w:r>
      <w:r w:rsidR="004E15B0" w:rsidRPr="00E31146">
        <w:rPr>
          <w:sz w:val="20"/>
        </w:rPr>
        <w:t>ebsites or commercial, academic, or government ones where there is no commitment to archiving the data are not permitted in the reference list.</w:t>
      </w:r>
    </w:p>
    <w:p w14:paraId="4337EE20" w14:textId="77777777" w:rsidR="004E15B0" w:rsidRPr="00E31146" w:rsidRDefault="00780BC0" w:rsidP="00493201">
      <w:pPr>
        <w:pStyle w:val="References"/>
        <w:ind w:left="432" w:hanging="432"/>
      </w:pPr>
      <w:r w:rsidRPr="00E31146" w:rsidDel="00780BC0">
        <w:t xml:space="preserve"> </w:t>
      </w:r>
      <w:r w:rsidR="004E15B0" w:rsidRPr="00E31146">
        <w:t>[1</w:t>
      </w:r>
      <w:r w:rsidRPr="00E31146">
        <w:t>5</w:t>
      </w:r>
      <w:r w:rsidR="004E15B0" w:rsidRPr="00E31146">
        <w:t xml:space="preserve">] Atkins, C. P., and Scantelbury, J. D., “The Activity Coefficient of Sodium Chloride in a Simulated Pore Solution Environment,” </w:t>
      </w:r>
      <w:r w:rsidR="004E15B0" w:rsidRPr="00E31146">
        <w:rPr>
          <w:i/>
        </w:rPr>
        <w:t>Journal of Corrosion Science and Engineering</w:t>
      </w:r>
      <w:r w:rsidR="004E15B0" w:rsidRPr="00E31146">
        <w:t xml:space="preserve"> [online journal], Vol. 1, No. 1, Paper 2, URL: </w:t>
      </w:r>
      <w:hyperlink r:id="rId12" w:history="1">
        <w:r w:rsidR="004E15B0" w:rsidRPr="00E31146">
          <w:rPr>
            <w:rStyle w:val="Hyperlink"/>
          </w:rPr>
          <w:t>http://www.cp/umist.ac.uk/JCSE/vol1/vol1.html</w:t>
        </w:r>
      </w:hyperlink>
      <w:r w:rsidR="004E15B0" w:rsidRPr="00E31146">
        <w:t xml:space="preserve"> [</w:t>
      </w:r>
      <w:r w:rsidRPr="00E31146">
        <w:t xml:space="preserve">retrieved </w:t>
      </w:r>
      <w:r w:rsidR="004E15B0" w:rsidRPr="00E31146">
        <w:t>13 April 1998].</w:t>
      </w:r>
    </w:p>
    <w:p w14:paraId="53B72787" w14:textId="77777777" w:rsidR="004E15B0" w:rsidRPr="00E31146" w:rsidRDefault="004E15B0" w:rsidP="00493201">
      <w:pPr>
        <w:pStyle w:val="References"/>
        <w:ind w:left="432" w:hanging="432"/>
      </w:pPr>
      <w:r w:rsidRPr="00E31146">
        <w:t>[1</w:t>
      </w:r>
      <w:r w:rsidR="00780BC0" w:rsidRPr="00E31146">
        <w:t>6</w:t>
      </w:r>
      <w:r w:rsidRPr="00E31146">
        <w:t xml:space="preserve">] Vickers, A., “10-110 mm/hr Hypodermic Gravity Design A,” </w:t>
      </w:r>
      <w:r w:rsidRPr="00E31146">
        <w:rPr>
          <w:i/>
        </w:rPr>
        <w:t>Rainfall Simulation Database</w:t>
      </w:r>
      <w:r w:rsidRPr="00E31146">
        <w:t xml:space="preserve"> [online database], URL: </w:t>
      </w:r>
      <w:hyperlink r:id="rId13" w:history="1">
        <w:r w:rsidRPr="00E31146">
          <w:rPr>
            <w:rStyle w:val="Hyperlink"/>
          </w:rPr>
          <w:t>http://www.geog.le.ac.uk/bgrg/lab.htm</w:t>
        </w:r>
      </w:hyperlink>
      <w:r w:rsidRPr="00E31146">
        <w:t xml:space="preserve"> [</w:t>
      </w:r>
      <w:r w:rsidR="00780BC0" w:rsidRPr="00E31146">
        <w:t xml:space="preserve">retrieved </w:t>
      </w:r>
      <w:r w:rsidRPr="00E31146">
        <w:t xml:space="preserve">15 March </w:t>
      </w:r>
      <w:r w:rsidR="00780BC0" w:rsidRPr="00E31146">
        <w:t>2006</w:t>
      </w:r>
      <w:r w:rsidRPr="00E31146">
        <w:t>].</w:t>
      </w:r>
    </w:p>
    <w:p w14:paraId="34744115" w14:textId="77777777" w:rsidR="004E15B0" w:rsidRPr="00E31146" w:rsidRDefault="004E15B0" w:rsidP="00493201">
      <w:pPr>
        <w:pStyle w:val="References"/>
        <w:rPr>
          <w:sz w:val="20"/>
        </w:rPr>
      </w:pPr>
      <w:r w:rsidRPr="00E31146">
        <w:rPr>
          <w:sz w:val="20"/>
        </w:rPr>
        <w:t xml:space="preserve">Break </w:t>
      </w:r>
      <w:r w:rsidR="00780BC0" w:rsidRPr="00E31146">
        <w:rPr>
          <w:sz w:val="20"/>
        </w:rPr>
        <w:t>w</w:t>
      </w:r>
      <w:r w:rsidRPr="00E31146">
        <w:rPr>
          <w:sz w:val="20"/>
        </w:rPr>
        <w:t>ebsite addresses after punctuation, and do not hyphenate at line breaks.</w:t>
      </w:r>
    </w:p>
    <w:p w14:paraId="6AF190B4" w14:textId="77777777" w:rsidR="004E15B0" w:rsidRPr="00E31146" w:rsidRDefault="004E15B0" w:rsidP="00493201">
      <w:pPr>
        <w:pStyle w:val="References"/>
        <w:spacing w:before="240"/>
        <w:ind w:firstLine="0"/>
        <w:rPr>
          <w:sz w:val="20"/>
        </w:rPr>
      </w:pPr>
      <w:r w:rsidRPr="00E31146">
        <w:rPr>
          <w:i/>
          <w:sz w:val="20"/>
        </w:rPr>
        <w:t>Computer Software</w:t>
      </w:r>
    </w:p>
    <w:p w14:paraId="50492D92" w14:textId="77777777" w:rsidR="004E15B0" w:rsidRPr="00E31146" w:rsidRDefault="004E15B0" w:rsidP="00493201">
      <w:pPr>
        <w:pStyle w:val="References"/>
        <w:ind w:firstLine="0"/>
      </w:pPr>
      <w:r w:rsidRPr="00E31146">
        <w:t>[1</w:t>
      </w:r>
      <w:r w:rsidR="00D16AC7" w:rsidRPr="00E31146">
        <w:t>7</w:t>
      </w:r>
      <w:r w:rsidRPr="00E31146">
        <w:t>] TAPP, Thermochemical and Physical Properties, Software Package, Ver. 1.0, E. S. Microware, Hamilton, OH, 1992.</w:t>
      </w:r>
    </w:p>
    <w:p w14:paraId="22660E56" w14:textId="77777777" w:rsidR="004E15B0" w:rsidRPr="00E31146" w:rsidRDefault="004E15B0" w:rsidP="00493201">
      <w:pPr>
        <w:pStyle w:val="References"/>
      </w:pPr>
      <w:r w:rsidRPr="00E31146">
        <w:rPr>
          <w:sz w:val="20"/>
        </w:rPr>
        <w:lastRenderedPageBreak/>
        <w:t>Include a version number and the company name and location of software packages.</w:t>
      </w:r>
    </w:p>
    <w:p w14:paraId="4040B9FB" w14:textId="77777777" w:rsidR="004E15B0" w:rsidRPr="00E31146" w:rsidRDefault="004E15B0" w:rsidP="00493201">
      <w:pPr>
        <w:pStyle w:val="References"/>
        <w:spacing w:before="240"/>
        <w:ind w:firstLine="0"/>
        <w:rPr>
          <w:sz w:val="20"/>
        </w:rPr>
      </w:pPr>
      <w:r w:rsidRPr="00E31146">
        <w:rPr>
          <w:i/>
          <w:sz w:val="20"/>
        </w:rPr>
        <w:t>Patents</w:t>
      </w:r>
    </w:p>
    <w:p w14:paraId="0E2BA9A1" w14:textId="77777777" w:rsidR="004E15B0" w:rsidRPr="00E31146" w:rsidRDefault="004E15B0" w:rsidP="00493201">
      <w:pPr>
        <w:pStyle w:val="References"/>
        <w:rPr>
          <w:sz w:val="20"/>
        </w:rPr>
      </w:pPr>
      <w:r w:rsidRPr="00E31146">
        <w:rPr>
          <w:sz w:val="20"/>
        </w:rPr>
        <w:t>Patents appear infrequently. Be sure to include the patent number and date.</w:t>
      </w:r>
    </w:p>
    <w:p w14:paraId="3923BE49" w14:textId="6884977B" w:rsidR="004E15B0" w:rsidRPr="00493201" w:rsidRDefault="004E15B0" w:rsidP="00493201">
      <w:pPr>
        <w:pStyle w:val="References"/>
        <w:ind w:left="432" w:hanging="432"/>
      </w:pPr>
      <w:r w:rsidRPr="00E31146">
        <w:t>[1</w:t>
      </w:r>
      <w:r w:rsidR="00D16AC7" w:rsidRPr="00E31146">
        <w:t>8</w:t>
      </w:r>
      <w:r w:rsidRPr="00E31146">
        <w:t>] Scherrer, R., Overholster, D., and Watson, K., Lockheed Corp., Burbank, CA, U.S. Patent Application for a “Vehicle,” Docket No. P-01-1532, filed 11 Feb. 1979.</w:t>
      </w:r>
    </w:p>
    <w:sectPr w:rsidR="004E15B0" w:rsidRPr="00493201" w:rsidSect="00594FA6">
      <w:footerReference w:type="even" r:id="rId14"/>
      <w:footnotePr>
        <w:numFmt w:val="chicago"/>
      </w:footnotePr>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2CE622" w14:textId="77777777" w:rsidR="00403D75" w:rsidRDefault="00403D75">
      <w:r>
        <w:separator/>
      </w:r>
    </w:p>
  </w:endnote>
  <w:endnote w:type="continuationSeparator" w:id="0">
    <w:p w14:paraId="3C2F0E00" w14:textId="77777777" w:rsidR="00403D75" w:rsidRDefault="0040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C9AFD" w14:textId="77777777" w:rsidR="004E15B0" w:rsidRDefault="004E1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E29036" w14:textId="77777777" w:rsidR="004E15B0" w:rsidRDefault="004E1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A43229" w14:textId="77777777" w:rsidR="00403D75" w:rsidRDefault="00403D75">
      <w:r>
        <w:separator/>
      </w:r>
    </w:p>
  </w:footnote>
  <w:footnote w:type="continuationSeparator" w:id="0">
    <w:p w14:paraId="5269579E" w14:textId="77777777" w:rsidR="00403D75" w:rsidRDefault="00403D75">
      <w:r>
        <w:continuationSeparator/>
      </w:r>
    </w:p>
  </w:footnote>
  <w:footnote w:id="1">
    <w:p w14:paraId="5FF24B0F" w14:textId="391E491F" w:rsidR="004E15B0" w:rsidRDefault="004E15B0" w:rsidP="00917CEC">
      <w:r>
        <w:rPr>
          <w:rStyle w:val="FootnoteReference"/>
        </w:rPr>
        <w:footnoteRef/>
      </w:r>
      <w:r>
        <w:t xml:space="preserve"> </w:t>
      </w:r>
      <w:bookmarkStart w:id="0" w:name="_Hlk193845166"/>
      <w:r w:rsidR="00493201" w:rsidRPr="005D5CFF">
        <w:t>Graduate Research Assistant, Aerospace Engineering, AIAA Student Member</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1"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3"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5"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7"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19"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0"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87190360">
    <w:abstractNumId w:val="6"/>
  </w:num>
  <w:num w:numId="2" w16cid:durableId="1025400626">
    <w:abstractNumId w:val="7"/>
  </w:num>
  <w:num w:numId="3" w16cid:durableId="1073045140">
    <w:abstractNumId w:val="2"/>
  </w:num>
  <w:num w:numId="4" w16cid:durableId="524173245">
    <w:abstractNumId w:val="15"/>
  </w:num>
  <w:num w:numId="5" w16cid:durableId="1696298566">
    <w:abstractNumId w:val="2"/>
    <w:lvlOverride w:ilvl="0">
      <w:startOverride w:val="1"/>
    </w:lvlOverride>
  </w:num>
  <w:num w:numId="6" w16cid:durableId="932936168">
    <w:abstractNumId w:val="9"/>
  </w:num>
  <w:num w:numId="7" w16cid:durableId="281113171">
    <w:abstractNumId w:val="11"/>
  </w:num>
  <w:num w:numId="8" w16cid:durableId="990670434">
    <w:abstractNumId w:val="14"/>
  </w:num>
  <w:num w:numId="9" w16cid:durableId="1962148499">
    <w:abstractNumId w:val="17"/>
  </w:num>
  <w:num w:numId="10" w16cid:durableId="1614021745">
    <w:abstractNumId w:val="10"/>
  </w:num>
  <w:num w:numId="11" w16cid:durableId="190456449">
    <w:abstractNumId w:val="18"/>
  </w:num>
  <w:num w:numId="12" w16cid:durableId="1486386525">
    <w:abstractNumId w:val="1"/>
  </w:num>
  <w:num w:numId="13" w16cid:durableId="1310862086">
    <w:abstractNumId w:val="4"/>
  </w:num>
  <w:num w:numId="14" w16cid:durableId="1108739431">
    <w:abstractNumId w:val="19"/>
  </w:num>
  <w:num w:numId="15" w16cid:durableId="2114089136">
    <w:abstractNumId w:val="5"/>
  </w:num>
  <w:num w:numId="16" w16cid:durableId="1510751431">
    <w:abstractNumId w:val="20"/>
  </w:num>
  <w:num w:numId="17" w16cid:durableId="1899239148">
    <w:abstractNumId w:val="0"/>
  </w:num>
  <w:num w:numId="18" w16cid:durableId="415593249">
    <w:abstractNumId w:val="2"/>
    <w:lvlOverride w:ilvl="0">
      <w:startOverride w:val="1"/>
    </w:lvlOverride>
  </w:num>
  <w:num w:numId="19" w16cid:durableId="234705682">
    <w:abstractNumId w:val="2"/>
    <w:lvlOverride w:ilvl="0">
      <w:startOverride w:val="1"/>
    </w:lvlOverride>
  </w:num>
  <w:num w:numId="20" w16cid:durableId="788552785">
    <w:abstractNumId w:val="2"/>
  </w:num>
  <w:num w:numId="21" w16cid:durableId="1258557120">
    <w:abstractNumId w:val="2"/>
    <w:lvlOverride w:ilvl="0">
      <w:startOverride w:val="1"/>
    </w:lvlOverride>
  </w:num>
  <w:num w:numId="22" w16cid:durableId="309674674">
    <w:abstractNumId w:val="16"/>
  </w:num>
  <w:num w:numId="23" w16cid:durableId="1900358327">
    <w:abstractNumId w:val="3"/>
  </w:num>
  <w:num w:numId="24" w16cid:durableId="1722317631">
    <w:abstractNumId w:val="13"/>
  </w:num>
  <w:num w:numId="25" w16cid:durableId="76680957">
    <w:abstractNumId w:val="12"/>
  </w:num>
  <w:num w:numId="26" w16cid:durableId="1070956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45"/>
    <w:rsid w:val="00007726"/>
    <w:rsid w:val="00023250"/>
    <w:rsid w:val="00026B8C"/>
    <w:rsid w:val="00033E97"/>
    <w:rsid w:val="00043D42"/>
    <w:rsid w:val="00082135"/>
    <w:rsid w:val="000B3716"/>
    <w:rsid w:val="000E7B82"/>
    <w:rsid w:val="001056B8"/>
    <w:rsid w:val="00126AD3"/>
    <w:rsid w:val="001401DA"/>
    <w:rsid w:val="001804F3"/>
    <w:rsid w:val="001B1EAC"/>
    <w:rsid w:val="001B4309"/>
    <w:rsid w:val="001D364F"/>
    <w:rsid w:val="001D6DFF"/>
    <w:rsid w:val="001E2378"/>
    <w:rsid w:val="002121E3"/>
    <w:rsid w:val="002163DD"/>
    <w:rsid w:val="00223D1F"/>
    <w:rsid w:val="00224C00"/>
    <w:rsid w:val="00241145"/>
    <w:rsid w:val="00254B0D"/>
    <w:rsid w:val="0029228A"/>
    <w:rsid w:val="002C5247"/>
    <w:rsid w:val="003204C9"/>
    <w:rsid w:val="00333ED6"/>
    <w:rsid w:val="00343E05"/>
    <w:rsid w:val="00346675"/>
    <w:rsid w:val="003651F5"/>
    <w:rsid w:val="00371D61"/>
    <w:rsid w:val="003A3AAD"/>
    <w:rsid w:val="003B0035"/>
    <w:rsid w:val="003B7030"/>
    <w:rsid w:val="003C01D6"/>
    <w:rsid w:val="00403A5D"/>
    <w:rsid w:val="00403D75"/>
    <w:rsid w:val="00436EA7"/>
    <w:rsid w:val="0045208C"/>
    <w:rsid w:val="00475ED5"/>
    <w:rsid w:val="0048661A"/>
    <w:rsid w:val="00490BF1"/>
    <w:rsid w:val="00493201"/>
    <w:rsid w:val="00493A6F"/>
    <w:rsid w:val="004A1A4A"/>
    <w:rsid w:val="004C1C92"/>
    <w:rsid w:val="004D25CC"/>
    <w:rsid w:val="004E06E9"/>
    <w:rsid w:val="004E15B0"/>
    <w:rsid w:val="005119F8"/>
    <w:rsid w:val="00516FDA"/>
    <w:rsid w:val="00535292"/>
    <w:rsid w:val="00547D0A"/>
    <w:rsid w:val="00552D1A"/>
    <w:rsid w:val="0056352D"/>
    <w:rsid w:val="00583689"/>
    <w:rsid w:val="00594FA6"/>
    <w:rsid w:val="00595F0E"/>
    <w:rsid w:val="005B5BE2"/>
    <w:rsid w:val="005C34B2"/>
    <w:rsid w:val="005E64BE"/>
    <w:rsid w:val="005F7A23"/>
    <w:rsid w:val="00642899"/>
    <w:rsid w:val="00643F9E"/>
    <w:rsid w:val="00646CCC"/>
    <w:rsid w:val="00695C90"/>
    <w:rsid w:val="006D6E69"/>
    <w:rsid w:val="006E1D2F"/>
    <w:rsid w:val="006E47D9"/>
    <w:rsid w:val="00702BAE"/>
    <w:rsid w:val="00712CB5"/>
    <w:rsid w:val="00727F41"/>
    <w:rsid w:val="007378C6"/>
    <w:rsid w:val="00743D48"/>
    <w:rsid w:val="00746300"/>
    <w:rsid w:val="00746CD0"/>
    <w:rsid w:val="00750ED5"/>
    <w:rsid w:val="00756C1C"/>
    <w:rsid w:val="00772382"/>
    <w:rsid w:val="00780BC0"/>
    <w:rsid w:val="00781378"/>
    <w:rsid w:val="00795FE9"/>
    <w:rsid w:val="007B6661"/>
    <w:rsid w:val="007C5B35"/>
    <w:rsid w:val="007E4CE8"/>
    <w:rsid w:val="007F7477"/>
    <w:rsid w:val="008231FD"/>
    <w:rsid w:val="00826986"/>
    <w:rsid w:val="00835AF5"/>
    <w:rsid w:val="0084211A"/>
    <w:rsid w:val="008C5B8F"/>
    <w:rsid w:val="008C7D7F"/>
    <w:rsid w:val="008F381E"/>
    <w:rsid w:val="00917CEC"/>
    <w:rsid w:val="00945EF4"/>
    <w:rsid w:val="0095311F"/>
    <w:rsid w:val="00966F73"/>
    <w:rsid w:val="009849A1"/>
    <w:rsid w:val="0099238D"/>
    <w:rsid w:val="009A0069"/>
    <w:rsid w:val="009C5F5E"/>
    <w:rsid w:val="009E0D9B"/>
    <w:rsid w:val="00A05D5F"/>
    <w:rsid w:val="00A370B9"/>
    <w:rsid w:val="00A44C29"/>
    <w:rsid w:val="00A61C93"/>
    <w:rsid w:val="00A71665"/>
    <w:rsid w:val="00A91A9A"/>
    <w:rsid w:val="00A979F5"/>
    <w:rsid w:val="00AA1C43"/>
    <w:rsid w:val="00AA77E8"/>
    <w:rsid w:val="00AE1536"/>
    <w:rsid w:val="00AE6E5D"/>
    <w:rsid w:val="00AF1B6C"/>
    <w:rsid w:val="00B3617F"/>
    <w:rsid w:val="00B906D9"/>
    <w:rsid w:val="00B91345"/>
    <w:rsid w:val="00BA536E"/>
    <w:rsid w:val="00BA605E"/>
    <w:rsid w:val="00BB33C9"/>
    <w:rsid w:val="00BF25DE"/>
    <w:rsid w:val="00BF5D87"/>
    <w:rsid w:val="00BF7719"/>
    <w:rsid w:val="00C05933"/>
    <w:rsid w:val="00C23793"/>
    <w:rsid w:val="00C275D2"/>
    <w:rsid w:val="00C330D6"/>
    <w:rsid w:val="00C35339"/>
    <w:rsid w:val="00C37985"/>
    <w:rsid w:val="00C42827"/>
    <w:rsid w:val="00C63A08"/>
    <w:rsid w:val="00C643D6"/>
    <w:rsid w:val="00C723B9"/>
    <w:rsid w:val="00C82429"/>
    <w:rsid w:val="00C8562D"/>
    <w:rsid w:val="00C93351"/>
    <w:rsid w:val="00CD49A6"/>
    <w:rsid w:val="00CD6E54"/>
    <w:rsid w:val="00D16AC7"/>
    <w:rsid w:val="00D91127"/>
    <w:rsid w:val="00D973B5"/>
    <w:rsid w:val="00DD0B90"/>
    <w:rsid w:val="00DF0444"/>
    <w:rsid w:val="00E31146"/>
    <w:rsid w:val="00E51300"/>
    <w:rsid w:val="00E60677"/>
    <w:rsid w:val="00E840DA"/>
    <w:rsid w:val="00EA4B51"/>
    <w:rsid w:val="00EC547E"/>
    <w:rsid w:val="00ED0E7D"/>
    <w:rsid w:val="00EF5604"/>
    <w:rsid w:val="00F02E4F"/>
    <w:rsid w:val="00F20F56"/>
    <w:rsid w:val="00F22F6B"/>
    <w:rsid w:val="00F403F9"/>
    <w:rsid w:val="00F872AE"/>
    <w:rsid w:val="00F97029"/>
    <w:rsid w:val="00FA590B"/>
    <w:rsid w:val="00FB34D5"/>
    <w:rsid w:val="388AA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19056EEF"/>
  <w15:chartTrackingRefBased/>
  <w15:docId w15:val="{6DE46D0F-DA0A-4230-ABF5-07D46ED95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uiPriority w:val="1"/>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uiPriority w:val="1"/>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link w:val="CommentSubject"/>
    <w:uiPriority w:val="99"/>
    <w:semiHidden/>
    <w:rsid w:val="00AF1B6C"/>
    <w:rPr>
      <w:b/>
      <w:bCs/>
    </w:rPr>
  </w:style>
  <w:style w:type="character" w:styleId="UnresolvedMention">
    <w:name w:val="Unresolved Mention"/>
    <w:uiPriority w:val="99"/>
    <w:semiHidden/>
    <w:unhideWhenUsed/>
    <w:rsid w:val="009A0069"/>
    <w:rPr>
      <w:color w:val="605E5C"/>
      <w:shd w:val="clear" w:color="auto" w:fill="E1DFDD"/>
    </w:rPr>
  </w:style>
  <w:style w:type="character" w:styleId="PlaceholderText">
    <w:name w:val="Placeholder Text"/>
    <w:basedOn w:val="DefaultParagraphFont"/>
    <w:uiPriority w:val="99"/>
    <w:semiHidden/>
    <w:rsid w:val="00D973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8026191">
      <w:bodyDiv w:val="1"/>
      <w:marLeft w:val="0"/>
      <w:marRight w:val="0"/>
      <w:marTop w:val="0"/>
      <w:marBottom w:val="0"/>
      <w:divBdr>
        <w:top w:val="none" w:sz="0" w:space="0" w:color="auto"/>
        <w:left w:val="none" w:sz="0" w:space="0" w:color="auto"/>
        <w:bottom w:val="none" w:sz="0" w:space="0" w:color="auto"/>
        <w:right w:val="none" w:sz="0" w:space="0" w:color="auto"/>
      </w:divBdr>
    </w:div>
    <w:div w:id="104806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geog.le.ac.uk/bgrg/lab.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p/umist.ac.uk/JCSE/vol1/vol1.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www.mathtype.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l%20M\Downloads\preparation-of-papers-for-aiaa-journals_2-13-20%20(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28E77-EA2B-D542-914B-E4815A2D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preparation-of-papers-for-aiaa-journals_2-13-20 (4).dot</Template>
  <TotalTime>98</TotalTime>
  <Pages>7</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19847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Laurel M</dc:creator>
  <cp:keywords>Journal template 2008</cp:keywords>
  <dc:description/>
  <cp:lastModifiedBy>Giampetro, Nicholas John</cp:lastModifiedBy>
  <cp:revision>17</cp:revision>
  <cp:lastPrinted>2016-06-27T18:55:00Z</cp:lastPrinted>
  <dcterms:created xsi:type="dcterms:W3CDTF">2023-11-06T14:47:00Z</dcterms:created>
  <dcterms:modified xsi:type="dcterms:W3CDTF">2025-03-26T07:11:00Z</dcterms:modified>
  <cp:category/>
</cp:coreProperties>
</file>