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00"/>
        <w:jc w:val="center"/>
      </w:pPr>
      <w:r>
        <w:rPr>
          <w:rFonts w:ascii="Microsoft JhengHei" w:cs="Microsoft JhengHei" w:eastAsia="Microsoft JhengHei" w:hAnsi="Microsoft JhengHei"/>
          <w:b/>
          <w:bCs/>
          <w:color w:val="1F3864"/>
          <w:sz w:val="32"/>
          <w:szCs w:val="32"/>
        </w:rPr>
        <w:t xml:space="preserve">TSGEX 資產管理部</w:t>
      </w:r>
    </w:p>
    <w:p>
      <w:pPr>
        <w:spacing w:after="100"/>
        <w:jc w:val="center"/>
      </w:pPr>
      <w:r>
        <w:rPr>
          <w:rFonts w:ascii="Microsoft JhengHei" w:cs="Microsoft JhengHei" w:eastAsia="Microsoft JhengHei" w:hAnsi="Microsoft JhengHei"/>
          <w:b/>
          <w:bCs/>
          <w:color w:val="1F3864"/>
          <w:sz w:val="34"/>
          <w:szCs w:val="34"/>
        </w:rPr>
        <w:t xml:space="preserve">自有流動資金收益優化可行性評估報告</w:t>
      </w:r>
    </w:p>
    <w:p>
      <w:pPr>
        <w:spacing w:after="500"/>
        <w:jc w:val="center"/>
      </w:pPr>
      <w:r>
        <w:rPr>
          <w:rFonts w:ascii="Microsoft JhengHei" w:cs="Microsoft JhengHei" w:eastAsia="Microsoft JhengHei" w:hAnsi="Microsoft JhengHei"/>
          <w:b/>
          <w:bCs/>
          <w:color w:val="44546A"/>
          <w:sz w:val="26"/>
          <w:szCs w:val="26"/>
        </w:rPr>
        <w:t xml:space="preserve">五大主流工具數據穿透、風險剖析與財務部資產配置決策矩陣</w:t>
      </w:r>
    </w:p>
    <w:p>
      <w:r>
        <w:br w:type="page"/>
      </w:r>
    </w:p>
    <w:p>
      <w:pPr>
        <w:pStyle w:val="Heading2"/>
        <w:spacing w:after="140" w:before="300"/>
      </w:pPr>
      <w:r>
        <w:rPr>
          <w:rFonts w:ascii="Microsoft JhengHei" w:cs="Microsoft JhengHei" w:eastAsia="Microsoft JhengHei" w:hAnsi="Microsoft JhengHei"/>
          <w:b/>
          <w:bCs/>
          <w:color w:val="1F3864"/>
          <w:sz w:val="25"/>
          <w:szCs w:val="25"/>
        </w:rPr>
        <w:t xml:space="preserve">1. 文件資訊與簽核矩陣（Document Control &amp; Sign-off）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文件名稱</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TSGEX 自有流動資金收益優化可行性評估報告（五大工具版）</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文件編號</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TSGEX-AM-2026-0904-R2</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機密等級</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內部機密（Internal Confidential）</w:t>
            </w:r>
            <w:r>
              <w:rPr>
                <w:rFonts w:ascii="Microsoft JhengHei" w:cs="Microsoft JhengHei" w:eastAsia="Microsoft JhengHei" w:hAnsi="Microsoft JhengHei"/>
                <w:sz w:val="18"/>
                <w:szCs w:val="18"/>
              </w:rPr>
              <w:t xml:space="preserve"> — 僅供內部審查，不對外流通</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提案單位</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TSGEX 資產管理部（Asset Management Department）</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文件版本</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V1.0（第一階段：Word 深度分析研究報告）</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報告日期</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2026-09-04（市場數據檢索日：2026 年 9 月）</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資金屬性</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 公司自有流動資金（Proprietary Equity Capital），落實獨立專戶隔離，不涉及任何用戶託管資產</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會簽矩陣（Sign-off Matrix）</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會簽單位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審查重點</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簽核角色</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簽核狀態</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財務部（Treasury &amp; Finance Department）</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收益認列、帳務處理、資金調度、無風險利率基準校準</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主責審查</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待簽核</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風險管理委員會（Risk Committee）</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交易對手風險、市場風險、流動性風險、單一平台曝險上限</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風控核決</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待簽核</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法令遵循室（Compliance / 法遵室）</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VASP 監管適用性、跨境資金移動合規性、衍生性商品法遵疑慮</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法遵核決</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待簽核</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高階管理層 / 投資委員會（IC）</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策略定位、資本配置額度、最終核准</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最終核准</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待簽核</w:t>
            </w:r>
          </w:p>
        </w:tc>
      </w:tr>
    </w:tbl>
    <w:p>
      <w:pPr>
        <w:spacing w:after="160"/>
      </w:pPr>
    </w:p>
    <w:p>
      <w:pPr>
        <w:pStyle w:val="Heading2"/>
        <w:spacing w:after="140" w:before="300"/>
      </w:pPr>
      <w:r>
        <w:rPr>
          <w:rFonts w:ascii="Microsoft JhengHei" w:cs="Microsoft JhengHei" w:eastAsia="Microsoft JhengHei" w:hAnsi="Microsoft JhengHei"/>
          <w:b/>
          <w:bCs/>
          <w:color w:val="1F3864"/>
          <w:sz w:val="25"/>
          <w:szCs w:val="25"/>
        </w:rPr>
        <w:t xml:space="preserve">2. 執行摘要（Executive Summary）</w:t>
      </w:r>
    </w:p>
    <w:p>
      <w:pPr>
        <w:pStyle w:val="Heading3"/>
        <w:spacing w:after="120" w:before="220"/>
      </w:pPr>
      <w:r>
        <w:rPr>
          <w:rFonts w:ascii="Microsoft JhengHei" w:cs="Microsoft JhengHei" w:eastAsia="Microsoft JhengHei" w:hAnsi="Microsoft JhengHei"/>
          <w:b/>
          <w:bCs/>
          <w:color w:val="2E5395"/>
          <w:sz w:val="22"/>
          <w:szCs w:val="22"/>
        </w:rPr>
        <w:t xml:space="preserve">2.1 提案背景與研究方法</w:t>
      </w:r>
    </w:p>
    <w:p>
      <w:pPr>
        <w:spacing w:after="160" w:line="300"/>
      </w:pPr>
      <w:r>
        <w:rPr>
          <w:rFonts w:ascii="Microsoft JhengHei" w:cs="Microsoft JhengHei" w:eastAsia="Microsoft JhengHei" w:hAnsi="Microsoft JhengHei"/>
          <w:sz w:val="21"/>
          <w:szCs w:val="21"/>
        </w:rPr>
        <w:t xml:space="preserve">TSGEX 資產管理部就公司自有流動資金之收益優化議題，針對市場上五項主流工具進行</w:t>
      </w:r>
      <w:r>
        <w:rPr>
          <w:rFonts w:ascii="Microsoft JhengHei" w:cs="Microsoft JhengHei" w:eastAsia="Microsoft JhengHei" w:hAnsi="Microsoft JhengHei"/>
          <w:b/>
          <w:bCs/>
          <w:sz w:val="21"/>
          <w:szCs w:val="21"/>
        </w:rPr>
        <w:t xml:space="preserve">獨立、逐一之數據穿透分析</w:t>
      </w:r>
      <w:r>
        <w:rPr>
          <w:rFonts w:ascii="Microsoft JhengHei" w:cs="Microsoft JhengHei" w:eastAsia="Microsoft JhengHei" w:hAnsi="Microsoft JhengHei"/>
          <w:sz w:val="21"/>
          <w:szCs w:val="21"/>
        </w:rPr>
        <w:t xml:space="preserve">：Bitfinex USD 保證金融資出借、OKX 與 Binance 之 USDT 活期理財、以及 OKX 與 Binance 之雙幣理財。本報告之利率與機制數據均經</w:t>
      </w:r>
      <w:r>
        <w:rPr>
          <w:rFonts w:ascii="Microsoft JhengHei" w:cs="Microsoft JhengHei" w:eastAsia="Microsoft JhengHei" w:hAnsi="Microsoft JhengHei"/>
          <w:b/>
          <w:bCs/>
          <w:sz w:val="21"/>
          <w:szCs w:val="21"/>
        </w:rPr>
        <w:t xml:space="preserve">即時聯網檢索</w:t>
      </w:r>
      <w:r>
        <w:rPr>
          <w:rFonts w:ascii="Microsoft JhengHei" w:cs="Microsoft JhengHei" w:eastAsia="Microsoft JhengHei" w:hAnsi="Microsoft JhengHei"/>
          <w:sz w:val="21"/>
          <w:szCs w:val="21"/>
        </w:rPr>
        <w:t xml:space="preserve">取得（檢索時間：2026 年 9 月），並於文末「資料來源與檢索時間」章節完整列示引用來源，以確保財務部審查所依據之參數具備時效性與可驗證性。</w:t>
      </w:r>
    </w:p>
    <w:p>
      <w:pPr>
        <w:pStyle w:val="Heading3"/>
        <w:spacing w:after="120" w:before="220"/>
      </w:pPr>
      <w:r>
        <w:rPr>
          <w:rFonts w:ascii="Microsoft JhengHei" w:cs="Microsoft JhengHei" w:eastAsia="Microsoft JhengHei" w:hAnsi="Microsoft JhengHei"/>
          <w:b/>
          <w:bCs/>
          <w:color w:val="2E5395"/>
          <w:sz w:val="22"/>
          <w:szCs w:val="22"/>
        </w:rPr>
        <w:t xml:space="preserve">2.2 五大標的定位總覽</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標的</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收益本質</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收益來源計算基礎</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Bitfinex USD Margin Funding</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出借利息（Interest Income）</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P2P 訂單簿撮合利率（FRR），扣除平台 15% 服務費</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OKX USDT 活期理財</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資金池借貸利差</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前 500 USDT 享 Bonus APR，超額部分依市場浮動利率計息，平台抽成 15%</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Binance USDT 活期理財</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資金池借貸利差</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Real-Time APR（即時浮動）+ 特定額度內之 Bonus Tiered APR</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OKX 雙幣贏（Dual Investment）</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選擇權權利金（Option Premium）</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依行使價與市場價之相對關係決定結算幣別，年化報酬即權利金之年化換算</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Binance 雙幣投資（Dual Investment）</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選擇權權利金（Option Premium）</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官方揭露年化區間約 4%–138%（部分商品歷史上曾達 175%），機制同上</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2.3 財務基準與研究揭露</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公司內部政策性財務基準（Hurdle Rate）：</w:t>
      </w:r>
      <w:r>
        <w:rPr>
          <w:rFonts w:ascii="Microsoft JhengHei" w:cs="Microsoft JhengHei" w:eastAsia="Microsoft JhengHei" w:hAnsi="Microsoft JhengHei"/>
          <w:sz w:val="21"/>
          <w:szCs w:val="21"/>
        </w:rPr>
        <w:t xml:space="preserve"> SOFR / 3M T-Bill ≈ 4.5% + 150–200 bps 流動性溢價（沿用既有內部政策設定）。</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即時市場數據校驗：</w:t>
      </w:r>
      <w:r>
        <w:rPr>
          <w:rFonts w:ascii="Microsoft JhengHei" w:cs="Microsoft JhengHei" w:eastAsia="Microsoft JhengHei" w:hAnsi="Microsoft JhengHei"/>
          <w:sz w:val="21"/>
          <w:szCs w:val="21"/>
        </w:rPr>
        <w:t xml:space="preserve"> 依紐約聯邦準備銀行公開資料，2026 年 9 月 1 日 SOFR 實際報價為 </w:t>
      </w:r>
      <w:r>
        <w:rPr>
          <w:rFonts w:ascii="Microsoft JhengHei" w:cs="Microsoft JhengHei" w:eastAsia="Microsoft JhengHei" w:hAnsi="Microsoft JhengHei"/>
          <w:b/>
          <w:bCs/>
          <w:sz w:val="21"/>
          <w:szCs w:val="21"/>
        </w:rPr>
        <w:t xml:space="preserve">3.66%</w:t>
      </w:r>
      <w:r>
        <w:rPr>
          <w:rFonts w:ascii="Microsoft JhengHei" w:cs="Microsoft JhengHei" w:eastAsia="Microsoft JhengHei" w:hAnsi="Microsoft JhengHei"/>
          <w:sz w:val="21"/>
          <w:szCs w:val="21"/>
        </w:rPr>
        <w:t xml:space="preserve">，較公司內部政策假設之 4.5% 為低；本報告於計算「超額利差（Alpha）」時，將</w:t>
      </w:r>
      <w:r>
        <w:rPr>
          <w:rFonts w:ascii="Microsoft JhengHei" w:cs="Microsoft JhengHei" w:eastAsia="Microsoft JhengHei" w:hAnsi="Microsoft JhengHei"/>
          <w:b/>
          <w:bCs/>
          <w:sz w:val="21"/>
          <w:szCs w:val="21"/>
        </w:rPr>
        <w:t xml:space="preserve">同時列示依政策基準與依即時市場基準之兩組數據</w:t>
      </w:r>
      <w:r>
        <w:rPr>
          <w:rFonts w:ascii="Microsoft JhengHei" w:cs="Microsoft JhengHei" w:eastAsia="Microsoft JhengHei" w:hAnsi="Microsoft JhengHei"/>
          <w:sz w:val="21"/>
          <w:szCs w:val="21"/>
        </w:rPr>
        <w:t xml:space="preserve">，供財務部審酌採用。</w:t>
      </w:r>
    </w:p>
    <w:p>
      <w:pPr>
        <w:pStyle w:val="Heading3"/>
        <w:spacing w:after="120" w:before="220"/>
      </w:pPr>
      <w:r>
        <w:rPr>
          <w:rFonts w:ascii="Microsoft JhengHei" w:cs="Microsoft JhengHei" w:eastAsia="Microsoft JhengHei" w:hAnsi="Microsoft JhengHei"/>
          <w:b/>
          <w:bCs/>
          <w:color w:val="2E5395"/>
          <w:sz w:val="22"/>
          <w:szCs w:val="22"/>
        </w:rPr>
        <w:t xml:space="preserve">2.4 報告結構</w:t>
      </w:r>
    </w:p>
    <w:p>
      <w:pPr>
        <w:spacing w:after="160" w:line="300"/>
      </w:pPr>
      <w:r>
        <w:rPr>
          <w:rFonts w:ascii="Microsoft JhengHei" w:cs="Microsoft JhengHei" w:eastAsia="Microsoft JhengHei" w:hAnsi="Microsoft JhengHei"/>
          <w:sz w:val="21"/>
          <w:szCs w:val="21"/>
        </w:rPr>
        <w:t xml:space="preserve">本報告依序對五項標的進行獨立深度剖析（第 3–7 章），再彙整跨標的之會計處理對比（第 8 章）、綜合決策矩陣（第 9 章）、三種全配置資產配置模擬模型（第 10 章），最後說明內控資安架構（第 11 章）與推進時程（第 12 章）。</w:t>
      </w:r>
      <w:r>
        <w:rPr>
          <w:rFonts w:ascii="Microsoft JhengHei" w:cs="Microsoft JhengHei" w:eastAsia="Microsoft JhengHei" w:hAnsi="Microsoft JhengHei"/>
          <w:b/>
          <w:bCs/>
          <w:sz w:val="21"/>
          <w:szCs w:val="21"/>
        </w:rPr>
        <w:t xml:space="preserve">本報告以呈現各標的之真實金融工程機制、數據試算與風險因子為唯一目的，最終配置決策保留予財務部與投資委員會依風險偏好自行判斷。</w:t>
      </w:r>
    </w:p>
    <w:p>
      <w:pPr>
        <w:pStyle w:val="Heading2"/>
        <w:spacing w:after="140" w:before="300"/>
      </w:pPr>
      <w:r>
        <w:rPr>
          <w:rFonts w:ascii="Microsoft JhengHei" w:cs="Microsoft JhengHei" w:eastAsia="Microsoft JhengHei" w:hAnsi="Microsoft JhengHei"/>
          <w:b/>
          <w:bCs/>
          <w:color w:val="1F3864"/>
          <w:sz w:val="25"/>
          <w:szCs w:val="25"/>
        </w:rPr>
        <w:t xml:space="preserve">3. Bitfinex USD Margin Funding 深度剖析</w:t>
      </w:r>
    </w:p>
    <w:p>
      <w:pPr>
        <w:pStyle w:val="Heading3"/>
        <w:spacing w:after="120" w:before="220"/>
      </w:pPr>
      <w:r>
        <w:rPr>
          <w:rFonts w:ascii="Microsoft JhengHei" w:cs="Microsoft JhengHei" w:eastAsia="Microsoft JhengHei" w:hAnsi="Microsoft JhengHei"/>
          <w:b/>
          <w:bCs/>
          <w:color w:val="2E5395"/>
          <w:sz w:val="22"/>
          <w:szCs w:val="22"/>
        </w:rPr>
        <w:t xml:space="preserve">3.1 平台與撮合機制</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P2P 訂單簿撮合原理</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出借人於 Funding Book 掛出「金額、利率、天期」，系統依價格優先、時間優先原則自動撮合；借款人則依市場利率動用融資額度</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借款人超額抵押率</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原始保證金率約為部位名目價值之 15%–33%（最高槓桿約 3–6.6 倍）</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維持保證金與清算引擎</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當部位保證金比率跌破維持保證金率（約 15% 上下）時，系統自動觸發強制減倉／平倉，優先以借款人擔保品償付未平倉融資本息</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出借人優先受償權</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出借人對借款人擔保品之求償順位優先於借款人自身權益；只要強平引擎於保證金比率歸零前完成減倉，出借人本金即不受影響</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3.2 幣別屬性：為何選擇 USD 法幣</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零幣價波動（Delta-Neutral）：</w:t>
      </w:r>
      <w:r>
        <w:rPr>
          <w:rFonts w:ascii="Microsoft JhengHei" w:cs="Microsoft JhengHei" w:eastAsia="Microsoft JhengHei" w:hAnsi="Microsoft JhengHei"/>
          <w:sz w:val="21"/>
          <w:szCs w:val="21"/>
        </w:rPr>
        <w:t xml:space="preserve"> 本金與計價貨幣皆為美元法幣，不存在標的資產跌價導致本金減損之風險。</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無穩定幣脫錨疑慮：</w:t>
      </w:r>
      <w:r>
        <w:rPr>
          <w:rFonts w:ascii="Microsoft JhengHei" w:cs="Microsoft JhengHei" w:eastAsia="Microsoft JhengHei" w:hAnsi="Microsoft JhengHei"/>
          <w:sz w:val="21"/>
          <w:szCs w:val="21"/>
        </w:rPr>
        <w:t xml:space="preserve"> 完全規避 USDT/USDC 等穩定幣發行商儲備金與二級市場脫錨風險。</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會計認列單純：</w:t>
      </w:r>
      <w:r>
        <w:rPr>
          <w:rFonts w:ascii="Microsoft JhengHei" w:cs="Microsoft JhengHei" w:eastAsia="Microsoft JhengHei" w:hAnsi="Microsoft JhengHei"/>
          <w:sz w:val="21"/>
          <w:szCs w:val="21"/>
        </w:rPr>
        <w:t xml:space="preserve"> 可直接列示為現金及約當現金或短期金融資產，符合 GAAP/IFRS 認列規範，無需進行虛擬資產公允價值評價。</w:t>
      </w:r>
    </w:p>
    <w:p>
      <w:pPr>
        <w:pStyle w:val="Heading3"/>
        <w:spacing w:after="120" w:before="220"/>
      </w:pPr>
      <w:r>
        <w:rPr>
          <w:rFonts w:ascii="Microsoft JhengHei" w:cs="Microsoft JhengHei" w:eastAsia="Microsoft JhengHei" w:hAnsi="Microsoft JhengHei"/>
          <w:b/>
          <w:bCs/>
          <w:color w:val="2E5395"/>
          <w:sz w:val="22"/>
          <w:szCs w:val="22"/>
        </w:rPr>
        <w:t xml:space="preserve">3.3 利差階梯掛單授權（Rate-Driven Tenor Laddering）</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提前還款權（借款人）：</w:t>
      </w:r>
      <w:r>
        <w:rPr>
          <w:rFonts w:ascii="Microsoft JhengHei" w:cs="Microsoft JhengHei" w:eastAsia="Microsoft JhengHei" w:hAnsi="Microsoft JhengHei"/>
          <w:sz w:val="21"/>
          <w:szCs w:val="21"/>
        </w:rPr>
        <w:t xml:space="preserve"> 借款人得於天期屆滿前提前償還融資，出借人仍可取得已實際借用天數之應計利息，本金不受影響。</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再投資風險（出借人）：</w:t>
      </w:r>
      <w:r>
        <w:rPr>
          <w:rFonts w:ascii="Microsoft JhengHei" w:cs="Microsoft JhengHei" w:eastAsia="Microsoft JhengHei" w:hAnsi="Microsoft JhengHei"/>
          <w:sz w:val="21"/>
          <w:szCs w:val="21"/>
        </w:rPr>
        <w:t xml:space="preserve"> 資金到期回流後若市場利率已下降，出借人須以較低利率再投資；此風險透過動態天期階梯與分批出借機制加以緩釋。</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階梯配置矩陣：</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市場利率區間（APR）</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授權天期</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操作邏輯</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常態市場（APR &lt; 15%）</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2–7 天短天期</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維持高頻資金輪動，保留每週流動性釋出彈性</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高息溢價期（APR ≥ 15%）</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開放至 15–30 天</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鎖定借款人短期高成本融資窗口，捕捉超額利潤</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極端波動期（APR ≥ 30%+）</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交易員專案彈性授權，最長 60–120 天</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於極端行情鎖定超高利率窗口，須經風控主管專案簽核</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3.4 即時市場數據（檢索日：2026 年 9 月）</w:t>
      </w:r>
    </w:p>
    <w:p>
      <w:pPr>
        <w:spacing w:after="160" w:line="300"/>
      </w:pPr>
      <w:r>
        <w:rPr>
          <w:rFonts w:ascii="Microsoft JhengHei" w:cs="Microsoft JhengHei" w:eastAsia="Microsoft JhengHei" w:hAnsi="Microsoft JhengHei"/>
          <w:sz w:val="21"/>
          <w:szCs w:val="21"/>
        </w:rPr>
        <w:t xml:space="preserve">依 Bitfinex 官方說明與第三方即時利率追蹤服務（EarnUSD）：</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近期 USD 出借日均利率（扣費後）約為 12.1% APR</w:t>
      </w:r>
      <w:r>
        <w:rPr>
          <w:rFonts w:ascii="Microsoft JhengHei" w:cs="Microsoft JhengHei" w:eastAsia="Microsoft JhengHei" w:hAnsi="Microsoft JhengHei"/>
          <w:sz w:val="21"/>
          <w:szCs w:val="21"/>
        </w:rPr>
        <w:t xml:space="preserve">，USDT 出借約 11.3% APR。</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FRR（Flash Return Rate）歷史區間約為 3%–20% APR</w:t>
      </w:r>
      <w:r>
        <w:rPr>
          <w:rFonts w:ascii="Microsoft JhengHei" w:cs="Microsoft JhengHei" w:eastAsia="Microsoft JhengHei" w:hAnsi="Microsoft JhengHei"/>
          <w:sz w:val="21"/>
          <w:szCs w:val="21"/>
        </w:rPr>
        <w:t xml:space="preserve">，依市場槓桿需求供需波動，每小時更新一次。</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平台服務費：標準掛單 15%，隱藏掛單（Hidden Offer）18%</w:t>
      </w:r>
      <w:r>
        <w:rPr>
          <w:rFonts w:ascii="Microsoft JhengHei" w:cs="Microsoft JhengHei" w:eastAsia="Microsoft JhengHei" w:hAnsi="Microsoft JhengHei"/>
          <w:sz w:val="21"/>
          <w:szCs w:val="21"/>
        </w:rPr>
        <w:t xml:space="preserve">；利息按秒計算，最低計息單位為 1 小時。</w:t>
      </w:r>
    </w:p>
    <w:p>
      <w:pPr>
        <w:pStyle w:val="Heading3"/>
        <w:spacing w:after="120" w:before="220"/>
      </w:pPr>
      <w:r>
        <w:rPr>
          <w:rFonts w:ascii="Microsoft JhengHei" w:cs="Microsoft JhengHei" w:eastAsia="Microsoft JhengHei" w:hAnsi="Microsoft JhengHei"/>
          <w:b/>
          <w:bCs/>
          <w:color w:val="2E5395"/>
          <w:sz w:val="22"/>
          <w:szCs w:val="22"/>
        </w:rPr>
        <w:t xml:space="preserve">3.5 百萬美元資金數據穿透試算（扣除 15% 服務費後）</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8"/>
        <w:gridCol w:w="1558"/>
        <w:gridCol w:w="1558"/>
        <w:gridCol w:w="1558"/>
        <w:gridCol w:w="1558"/>
        <w:gridCol w:w="1560"/>
      </w:tblGrid>
      <w:tr>
        <w:trPr>
          <w:tblHeader/>
        </w:trPr>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情境</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依據</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毛年化 APR</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淨年化收益率（Net APY）</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年度預期淨利（USD）</w:t>
            </w:r>
          </w:p>
        </w:tc>
        <w:tc>
          <w:tcPr>
            <w:tcW w:type="dxa" w:w="156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月度預期淨利（USD）</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保守情境</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FRR 歷史區間下緣</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5.0%</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4.25%</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$42,500</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$3,541.7</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基準情境</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2026 年 9 月即時市場日均利率</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12.1%</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10.29%</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$102,850</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$8,570.8</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樂觀情境</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FRR 歷史區間高點（槓桿需求旺盛期）</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20.0%+</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17.0%+</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$170,000+</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$14,166.7+</w:t>
            </w:r>
          </w:p>
        </w:tc>
      </w:tr>
    </w:tbl>
    <w:p>
      <w:pPr>
        <w:spacing w:after="160"/>
      </w:pPr>
    </w:p>
    <w:p>
      <w:pPr>
        <w:spacing w:after="160" w:line="300"/>
      </w:pPr>
      <w:r>
        <w:rPr>
          <w:rFonts w:ascii="Microsoft JhengHei" w:cs="Microsoft JhengHei" w:eastAsia="Microsoft JhengHei" w:hAnsi="Microsoft JhengHei"/>
          <w:b/>
          <w:bCs/>
          <w:sz w:val="21"/>
          <w:szCs w:val="21"/>
        </w:rPr>
        <w:t xml:space="preserve">相較即時 SOFR（3.66%）之超額利差：</w:t>
      </w:r>
      <w:r>
        <w:rPr>
          <w:rFonts w:ascii="Microsoft JhengHei" w:cs="Microsoft JhengHei" w:eastAsia="Microsoft JhengHei" w:hAnsi="Microsoft JhengHei"/>
          <w:sz w:val="21"/>
          <w:szCs w:val="21"/>
        </w:rPr>
        <w:t xml:space="preserve"> 保守情境 +59 bps；基準情境 +663 bps；樂觀情境 +1,334 bps+。</w:t>
      </w:r>
    </w:p>
    <w:p>
      <w:pPr>
        <w:pStyle w:val="Heading2"/>
        <w:spacing w:after="140" w:before="300"/>
      </w:pPr>
      <w:r>
        <w:rPr>
          <w:rFonts w:ascii="Microsoft JhengHei" w:cs="Microsoft JhengHei" w:eastAsia="Microsoft JhengHei" w:hAnsi="Microsoft JhengHei"/>
          <w:b/>
          <w:bCs/>
          <w:color w:val="1F3864"/>
          <w:sz w:val="25"/>
          <w:szCs w:val="25"/>
        </w:rPr>
        <w:t xml:space="preserve">4. OKX USDT 活期理財（Simple Earn 靈活）深度剖析</w:t>
      </w:r>
    </w:p>
    <w:p>
      <w:pPr>
        <w:pStyle w:val="Heading3"/>
        <w:spacing w:after="120" w:before="220"/>
      </w:pPr>
      <w:r>
        <w:rPr>
          <w:rFonts w:ascii="Microsoft JhengHei" w:cs="Microsoft JhengHei" w:eastAsia="Microsoft JhengHei" w:hAnsi="Microsoft JhengHei"/>
          <w:b/>
          <w:bCs/>
          <w:color w:val="2E5395"/>
          <w:sz w:val="22"/>
          <w:szCs w:val="22"/>
        </w:rPr>
        <w:t xml:space="preserve">4.1 運作架構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資金池借貸機制</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用戶存入之 USDT 併入 OKX 整體借貸資金池，OKX 每小時依借貸需求排序出借申請，用戶對交易所整體構成表內無擔保信用曝險</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儲備金證明（PoR）現況</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 OKX 公開揭露，OKX 已連續發布第 45 期月度儲備金證明（2026 年 8 月），其鏈上錢包合計持有約 232.3 億美元（BTC/ETH/USDT/USDC），主要資產儲備覆蓋率維持 100% 以上；驗證方式採用加密 Merkle 樹與 zk-STARK 約束機制</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4.2 最新分層階梯利率（Tiered APR）穿透（檢索日：2026 年 9 月）</w:t>
      </w:r>
    </w:p>
    <w:p>
      <w:pPr>
        <w:spacing w:after="160" w:line="300"/>
      </w:pPr>
      <w:r>
        <w:rPr>
          <w:rFonts w:ascii="Microsoft JhengHei" w:cs="Microsoft JhengHei" w:eastAsia="Microsoft JhengHei" w:hAnsi="Microsoft JhengHei"/>
          <w:sz w:val="21"/>
          <w:szCs w:val="21"/>
        </w:rPr>
        <w:t xml:space="preserve">- 依 OKX Help Center 官方說明：</w:t>
      </w:r>
      <w:r>
        <w:rPr>
          <w:rFonts w:ascii="Microsoft JhengHei" w:cs="Microsoft JhengHei" w:eastAsia="Microsoft JhengHei" w:hAnsi="Microsoft JhengHei"/>
          <w:b/>
          <w:bCs/>
          <w:sz w:val="21"/>
          <w:szCs w:val="21"/>
        </w:rPr>
        <w:t xml:space="preserve">前 500 USDT 享 Bonus APR 最高 10.00%</w:t>
      </w:r>
      <w:r>
        <w:rPr>
          <w:rFonts w:ascii="Microsoft JhengHei" w:cs="Microsoft JhengHei" w:eastAsia="Microsoft JhengHei" w:hAnsi="Microsoft JhengHei"/>
          <w:sz w:val="21"/>
          <w:szCs w:val="21"/>
        </w:rPr>
        <w:t xml:space="preserve">；超過該額度之部分，若成功出借，則依</w:t>
      </w:r>
      <w:r>
        <w:rPr>
          <w:rFonts w:ascii="Microsoft JhengHei" w:cs="Microsoft JhengHei" w:eastAsia="Microsoft JhengHei" w:hAnsi="Microsoft JhengHei"/>
          <w:b/>
          <w:bCs/>
          <w:sz w:val="21"/>
          <w:szCs w:val="21"/>
        </w:rPr>
        <w:t xml:space="preserve">市場浮動 APR</w:t>
      </w:r>
      <w:r>
        <w:rPr>
          <w:rFonts w:ascii="Microsoft JhengHei" w:cs="Microsoft JhengHei" w:eastAsia="Microsoft JhengHei" w:hAnsi="Microsoft JhengHei"/>
          <w:sz w:val="21"/>
          <w:szCs w:val="21"/>
        </w:rPr>
        <w:t xml:space="preserve"> 計息。</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平台費用：</w:t>
      </w:r>
      <w:r>
        <w:rPr>
          <w:rFonts w:ascii="Microsoft JhengHei" w:cs="Microsoft JhengHei" w:eastAsia="Microsoft JhengHei" w:hAnsi="Microsoft JhengHei"/>
          <w:sz w:val="21"/>
          <w:szCs w:val="21"/>
        </w:rPr>
        <w:t xml:space="preserve"> OKX 就 Simple Earn Flexible 之收益抽成 </w:t>
      </w:r>
      <w:r>
        <w:rPr>
          <w:rFonts w:ascii="Microsoft JhengHei" w:cs="Microsoft JhengHei" w:eastAsia="Microsoft JhengHei" w:hAnsi="Microsoft JhengHei"/>
          <w:b/>
          <w:bCs/>
          <w:sz w:val="21"/>
          <w:szCs w:val="21"/>
        </w:rPr>
        <w:t xml:space="preserve">15%</w:t>
      </w:r>
      <w:r>
        <w:rPr>
          <w:rFonts w:ascii="Microsoft JhengHei" w:cs="Microsoft JhengHei" w:eastAsia="Microsoft JhengHei" w:hAnsi="Microsoft JhengHei"/>
          <w:sz w:val="21"/>
          <w:szCs w:val="21"/>
        </w:rPr>
        <w:t xml:space="preserve">，官方公式：小時報酬 = 出借金額 × APR ÷ 365 ÷ 24 × 85%（即顯示利率已於實際入帳時扣除 15% 平台費）。</w:t>
      </w:r>
    </w:p>
    <w:p>
      <w:pPr>
        <w:pStyle w:val="Heading4"/>
        <w:spacing w:after="100" w:before="180"/>
      </w:pPr>
      <w:r>
        <w:rPr>
          <w:rFonts w:ascii="Microsoft JhengHei" w:cs="Microsoft JhengHei" w:eastAsia="Microsoft JhengHei" w:hAnsi="Microsoft JhengHei"/>
          <w:b/>
          <w:bCs/>
          <w:color w:val="44546A"/>
          <w:sz w:val="21"/>
          <w:szCs w:val="21"/>
        </w:rPr>
        <w:t xml:space="preserve">100 萬 USDT 規模加權平均 Effective APY 試算</w:t>
      </w:r>
    </w:p>
    <w:p>
      <w:pPr>
        <w:spacing w:after="160" w:line="300"/>
      </w:pPr>
      <w:r>
        <w:rPr>
          <w:rFonts w:ascii="Microsoft JhengHei" w:cs="Microsoft JhengHei" w:eastAsia="Microsoft JhengHei" w:hAnsi="Microsoft JhengHei"/>
          <w:sz w:val="21"/>
          <w:szCs w:val="21"/>
        </w:rPr>
        <w:t xml:space="preserve">假設超額部分之市場浮動 APR 落於代表性區間 2.0%–5.0%（依市場借貸供需即時調整，此處採區間試算以反映浮動特性）：</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級距（USDT）</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級距內金額</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名目 APR</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稅後（扣 15% 費）淨 APR</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該級距淨利息貢獻（USD）</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 – 500（Bonus）</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500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8.50%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$42.50</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500 – 1,000,000（市場浮動，中位情境 3.5%）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999,500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3.50%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2.975%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$29,735.13</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合計（中位情境）</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1,000,000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$29,777.63</w:t>
            </w:r>
          </w:p>
        </w:tc>
      </w:tr>
    </w:tbl>
    <w:p>
      <w:pPr>
        <w:spacing w:after="160"/>
      </w:pPr>
    </w:p>
    <w:p>
      <w:pPr>
        <w:spacing w:after="160" w:line="300"/>
      </w:pPr>
      <w:r>
        <w:rPr>
          <w:rFonts w:ascii="Microsoft JhengHei" w:cs="Microsoft JhengHei" w:eastAsia="Microsoft JhengHei" w:hAnsi="Microsoft JhengHei"/>
          <w:b/>
          <w:bCs/>
          <w:sz w:val="21"/>
          <w:szCs w:val="21"/>
        </w:rPr>
        <w:t xml:space="preserve">加權平均 Effective APY（中位情境）= 2.98%</w:t>
      </w:r>
      <w:r>
        <w:rPr>
          <w:rFonts w:ascii="Microsoft JhengHei" w:cs="Microsoft JhengHei" w:eastAsia="Microsoft JhengHei" w:hAnsi="Microsoft JhengHei"/>
          <w:sz w:val="21"/>
          <w:szCs w:val="21"/>
        </w:rPr>
        <w:t xml:space="preserve">；若市場浮動 APR 落於 2.0%–5.0% 區間兩端，Effective APY 相應落於</w:t>
      </w:r>
      <w:r>
        <w:rPr>
          <w:rFonts w:ascii="Microsoft JhengHei" w:cs="Microsoft JhengHei" w:eastAsia="Microsoft JhengHei" w:hAnsi="Microsoft JhengHei"/>
          <w:b/>
          <w:bCs/>
          <w:sz w:val="21"/>
          <w:szCs w:val="21"/>
        </w:rPr>
        <w:t xml:space="preserve">約 1.70%–4.25%</w:t>
      </w:r>
      <w:r>
        <w:rPr>
          <w:rFonts w:ascii="Microsoft JhengHei" w:cs="Microsoft JhengHei" w:eastAsia="Microsoft JhengHei" w:hAnsi="Microsoft JhengHei"/>
          <w:sz w:val="21"/>
          <w:szCs w:val="21"/>
        </w:rPr>
        <w:t xml:space="preserve"> 範圍。</w:t>
      </w:r>
    </w:p>
    <w:p>
      <w:pPr>
        <w:pStyle w:val="Heading3"/>
        <w:spacing w:after="120" w:before="220"/>
      </w:pPr>
      <w:r>
        <w:rPr>
          <w:rFonts w:ascii="Microsoft JhengHei" w:cs="Microsoft JhengHei" w:eastAsia="Microsoft JhengHei" w:hAnsi="Microsoft JhengHei"/>
          <w:b/>
          <w:bCs/>
          <w:color w:val="2E5395"/>
          <w:sz w:val="22"/>
          <w:szCs w:val="22"/>
        </w:rPr>
        <w:t xml:space="preserve">4.3 財務定位：T+0 流動性緩衝之運用效益</w:t>
      </w:r>
    </w:p>
    <w:p>
      <w:pPr>
        <w:spacing w:after="160" w:line="300"/>
      </w:pPr>
      <w:r>
        <w:rPr>
          <w:rFonts w:ascii="Microsoft JhengHei" w:cs="Microsoft JhengHei" w:eastAsia="Microsoft JhengHei" w:hAnsi="Microsoft JhengHei"/>
          <w:sz w:val="21"/>
          <w:szCs w:val="21"/>
        </w:rPr>
        <w:t xml:space="preserve">OKX Simple Earn Flexible 支援</w:t>
      </w:r>
      <w:r>
        <w:rPr>
          <w:rFonts w:ascii="Microsoft JhengHei" w:cs="Microsoft JhengHei" w:eastAsia="Microsoft JhengHei" w:hAnsi="Microsoft JhengHei"/>
          <w:b/>
          <w:bCs/>
          <w:sz w:val="21"/>
          <w:szCs w:val="21"/>
        </w:rPr>
        <w:t xml:space="preserve">即時或近即時贖回</w:t>
      </w:r>
      <w:r>
        <w:rPr>
          <w:rFonts w:ascii="Microsoft JhengHei" w:cs="Microsoft JhengHei" w:eastAsia="Microsoft JhengHei" w:hAnsi="Microsoft JhengHei"/>
          <w:sz w:val="21"/>
          <w:szCs w:val="21"/>
        </w:rPr>
        <w:t xml:space="preserve">，其正面財務價值在於：作為公司日常營運資金之</w:t>
      </w:r>
      <w:r>
        <w:rPr>
          <w:rFonts w:ascii="Microsoft JhengHei" w:cs="Microsoft JhengHei" w:eastAsia="Microsoft JhengHei" w:hAnsi="Microsoft JhengHei"/>
          <w:b/>
          <w:bCs/>
          <w:sz w:val="21"/>
          <w:szCs w:val="21"/>
        </w:rPr>
        <w:t xml:space="preserve">應急調度緩衝池</w:t>
      </w:r>
      <w:r>
        <w:rPr>
          <w:rFonts w:ascii="Microsoft JhengHei" w:cs="Microsoft JhengHei" w:eastAsia="Microsoft JhengHei" w:hAnsi="Microsoft JhengHei"/>
          <w:sz w:val="21"/>
          <w:szCs w:val="21"/>
        </w:rPr>
        <w:t xml:space="preserve">，可於數分鐘至數小時內完成資金召回，填補傳統銀行電匯結算時差（T+1 至 T+2）所產生之短期流動性缺口，此為 Bitfinex 天期鎖定型出借部位所不具備之特性。</w:t>
      </w:r>
    </w:p>
    <w:p>
      <w:pPr>
        <w:pStyle w:val="Heading2"/>
        <w:spacing w:after="140" w:before="300"/>
      </w:pPr>
      <w:r>
        <w:rPr>
          <w:rFonts w:ascii="Microsoft JhengHei" w:cs="Microsoft JhengHei" w:eastAsia="Microsoft JhengHei" w:hAnsi="Microsoft JhengHei"/>
          <w:b/>
          <w:bCs/>
          <w:color w:val="1F3864"/>
          <w:sz w:val="25"/>
          <w:szCs w:val="25"/>
        </w:rPr>
        <w:t xml:space="preserve">5. Binance USDT 活期理財（Simple Earn 活期）深度剖析</w:t>
      </w:r>
    </w:p>
    <w:p>
      <w:pPr>
        <w:pStyle w:val="Heading3"/>
        <w:spacing w:after="120" w:before="220"/>
      </w:pPr>
      <w:r>
        <w:rPr>
          <w:rFonts w:ascii="Microsoft JhengHei" w:cs="Microsoft JhengHei" w:eastAsia="Microsoft JhengHei" w:hAnsi="Microsoft JhengHei"/>
          <w:b/>
          <w:bCs/>
          <w:color w:val="2E5395"/>
          <w:sz w:val="22"/>
          <w:szCs w:val="22"/>
        </w:rPr>
        <w:t xml:space="preserve">5.1 運作架構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資金池借貸機制</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與 OKX 類似，用戶 USDT 併入 Binance 整體資金池，依 Real-Time APR（即時浮動，每分鐘更新）計息</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SAFU 保護基金現況</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 2026 年公開資訊，Binance SAFU 基金已於 2026 年 2 月完成組成調整，將原約 10 億美元之穩定幣儲備全數轉換為約 15,000 枚 BTC（價值約 10 億美元），並承諾若基金價值因市場波動跌破 8 億美元將補充至原水位；Binance 整體用戶資產儲備證明（PoR）截至 2025 年底約揭露 1,628 億美元</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5.2 最新分層階梯利率（Tiered APR）穿透（檢索日：2026 年 9 月）</w:t>
      </w:r>
    </w:p>
    <w:p>
      <w:pPr>
        <w:spacing w:after="160" w:line="300"/>
      </w:pPr>
      <w:r>
        <w:rPr>
          <w:rFonts w:ascii="Microsoft JhengHei" w:cs="Microsoft JhengHei" w:eastAsia="Microsoft JhengHei" w:hAnsi="Microsoft JhengHei"/>
          <w:sz w:val="21"/>
          <w:szCs w:val="21"/>
        </w:rPr>
        <w:t xml:space="preserve">依 Binance 官方公告（2026 年 8 月 14 日 Yield Arena 活動實例）：</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USDT Flexible：Real-Time APR 約 1.5%</w:t>
      </w:r>
      <w:r>
        <w:rPr>
          <w:rFonts w:ascii="Microsoft JhengHei" w:cs="Microsoft JhengHei" w:eastAsia="Microsoft JhengHei" w:hAnsi="Microsoft JhengHei"/>
          <w:sz w:val="21"/>
          <w:szCs w:val="21"/>
        </w:rPr>
        <w:t xml:space="preserve">，另於</w:t>
      </w:r>
      <w:r>
        <w:rPr>
          <w:rFonts w:ascii="Microsoft JhengHei" w:cs="Microsoft JhengHei" w:eastAsia="Microsoft JhengHei" w:hAnsi="Microsoft JhengHei"/>
          <w:b/>
          <w:bCs/>
          <w:sz w:val="21"/>
          <w:szCs w:val="21"/>
        </w:rPr>
        <w:t xml:space="preserve">前 200 USDT</w:t>
      </w:r>
      <w:r>
        <w:rPr>
          <w:rFonts w:ascii="Microsoft JhengHei" w:cs="Microsoft JhengHei" w:eastAsia="Microsoft JhengHei" w:hAnsi="Microsoft JhengHei"/>
          <w:sz w:val="21"/>
          <w:szCs w:val="21"/>
        </w:rPr>
        <w:t xml:space="preserve"> 提供 </w:t>
      </w:r>
      <w:r>
        <w:rPr>
          <w:rFonts w:ascii="Microsoft JhengHei" w:cs="Microsoft JhengHei" w:eastAsia="Microsoft JhengHei" w:hAnsi="Microsoft JhengHei"/>
          <w:b/>
          <w:bCs/>
          <w:sz w:val="21"/>
          <w:szCs w:val="21"/>
        </w:rPr>
        <w:t xml:space="preserve">Bonus Tiered APR 3.0%</w:t>
      </w:r>
      <w:r>
        <w:rPr>
          <w:rFonts w:ascii="Microsoft JhengHei" w:cs="Microsoft JhengHei" w:eastAsia="Microsoft JhengHei" w:hAnsi="Microsoft JhengHei"/>
          <w:sz w:val="21"/>
          <w:szCs w:val="21"/>
        </w:rPr>
        <w:t xml:space="preserve">（與 Real-Time APR 疊加，即該級距合計約 4.5%）。</w:t>
      </w:r>
    </w:p>
    <w:p>
      <w:pPr>
        <w:spacing w:after="160" w:line="300"/>
      </w:pPr>
      <w:r>
        <w:rPr>
          <w:rFonts w:ascii="Microsoft JhengHei" w:cs="Microsoft JhengHei" w:eastAsia="Microsoft JhengHei" w:hAnsi="Microsoft JhengHei"/>
          <w:sz w:val="21"/>
          <w:szCs w:val="21"/>
        </w:rPr>
        <w:t xml:space="preserve">- 另有其他 2026 年度促銷公告顯示 USDT Flexible 產品「最高可達 6% APR」，惟此類頭牌數字同樣僅適用於極小額之促銷級距。</w:t>
      </w:r>
    </w:p>
    <w:p>
      <w:pPr>
        <w:pStyle w:val="Heading4"/>
        <w:spacing w:after="100" w:before="180"/>
      </w:pPr>
      <w:r>
        <w:rPr>
          <w:rFonts w:ascii="Microsoft JhengHei" w:cs="Microsoft JhengHei" w:eastAsia="Microsoft JhengHei" w:hAnsi="Microsoft JhengHei"/>
          <w:b/>
          <w:bCs/>
          <w:color w:val="44546A"/>
          <w:sz w:val="21"/>
          <w:szCs w:val="21"/>
        </w:rPr>
        <w:t xml:space="preserve">100 萬 USDT 規模加權平均 Effective APY 試算</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級距（USDT）</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級距內金額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適用利率</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該級距利息貢獻（USD）</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 – 200（Real-Time APR + Bonus）</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4.50%（1.5%+3.0%）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200 – 1,000,000（Real-Time APR）</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999,800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$14,997.00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合計</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1,000,000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$15,006.00</w:t>
            </w:r>
          </w:p>
        </w:tc>
      </w:tr>
    </w:tbl>
    <w:p>
      <w:pPr>
        <w:spacing w:after="160"/>
      </w:pPr>
    </w:p>
    <w:p>
      <w:pPr>
        <w:spacing w:after="160" w:line="300"/>
      </w:pPr>
      <w:r>
        <w:rPr>
          <w:rFonts w:ascii="Microsoft JhengHei" w:cs="Microsoft JhengHei" w:eastAsia="Microsoft JhengHei" w:hAnsi="Microsoft JhengHei"/>
          <w:b/>
          <w:bCs/>
          <w:sz w:val="21"/>
          <w:szCs w:val="21"/>
        </w:rPr>
        <w:t xml:space="preserve">加權平均 Effective APY = 1.50%</w:t>
      </w:r>
      <w:r>
        <w:rPr>
          <w:rFonts w:ascii="Microsoft JhengHei" w:cs="Microsoft JhengHei" w:eastAsia="Microsoft JhengHei" w:hAnsi="Microsoft JhengHei"/>
          <w:sz w:val="21"/>
          <w:szCs w:val="21"/>
        </w:rPr>
        <w:t xml:space="preserve">（因 Bonus 級距僅佔百萬資金規模之 0.02%，對整體加權平均之影響可忽略不計，實際上機構規模之有效年化幾乎完全收斂至 Real-Time APR 基礎利率）。</w:t>
      </w:r>
    </w:p>
    <w:p>
      <w:pPr>
        <w:pStyle w:val="Heading3"/>
        <w:spacing w:after="120" w:before="220"/>
      </w:pPr>
      <w:r>
        <w:rPr>
          <w:rFonts w:ascii="Microsoft JhengHei" w:cs="Microsoft JhengHei" w:eastAsia="Microsoft JhengHei" w:hAnsi="Microsoft JhengHei"/>
          <w:b/>
          <w:bCs/>
          <w:color w:val="2E5395"/>
          <w:sz w:val="22"/>
          <w:szCs w:val="22"/>
        </w:rPr>
        <w:t xml:space="preserve">5.3 財務定位：全球最大穩定幣流動池與跨平台備援</w:t>
      </w:r>
    </w:p>
    <w:p>
      <w:pPr>
        <w:spacing w:after="160" w:line="300"/>
      </w:pPr>
      <w:r>
        <w:rPr>
          <w:rFonts w:ascii="Microsoft JhengHei" w:cs="Microsoft JhengHei" w:eastAsia="Microsoft JhengHei" w:hAnsi="Microsoft JhengHei"/>
          <w:sz w:val="21"/>
          <w:szCs w:val="21"/>
        </w:rPr>
        <w:t xml:space="preserve">Binance 為全球交易量與穩定幣流動池規模最大之交易所，其活期產品之核心財務價值同樣在於</w:t>
      </w:r>
      <w:r>
        <w:rPr>
          <w:rFonts w:ascii="Microsoft JhengHei" w:cs="Microsoft JhengHei" w:eastAsia="Microsoft JhengHei" w:hAnsi="Microsoft JhengHei"/>
          <w:b/>
          <w:bCs/>
          <w:sz w:val="21"/>
          <w:szCs w:val="21"/>
        </w:rPr>
        <w:t xml:space="preserve">即時贖回彈性</w:t>
      </w:r>
      <w:r>
        <w:rPr>
          <w:rFonts w:ascii="Microsoft JhengHei" w:cs="Microsoft JhengHei" w:eastAsia="Microsoft JhengHei" w:hAnsi="Microsoft JhengHei"/>
          <w:sz w:val="21"/>
          <w:szCs w:val="21"/>
        </w:rPr>
        <w:t xml:space="preserve">。與 OKX 活期理財併用，可形成</w:t>
      </w:r>
      <w:r>
        <w:rPr>
          <w:rFonts w:ascii="Microsoft JhengHei" w:cs="Microsoft JhengHei" w:eastAsia="Microsoft JhengHei" w:hAnsi="Microsoft JhengHei"/>
          <w:b/>
          <w:bCs/>
          <w:sz w:val="21"/>
          <w:szCs w:val="21"/>
        </w:rPr>
        <w:t xml:space="preserve">跨平台流動性備援</w:t>
      </w:r>
      <w:r>
        <w:rPr>
          <w:rFonts w:ascii="Microsoft JhengHei" w:cs="Microsoft JhengHei" w:eastAsia="Microsoft JhengHei" w:hAnsi="Microsoft JhengHei"/>
          <w:sz w:val="21"/>
          <w:szCs w:val="21"/>
        </w:rPr>
        <w:t xml:space="preserve">，降低單一交易所出金延遲或維護停機對公司營運資金調度之衝擊。</w:t>
      </w:r>
    </w:p>
    <w:p>
      <w:pPr>
        <w:pStyle w:val="Heading2"/>
        <w:spacing w:after="140" w:before="300"/>
      </w:pPr>
      <w:r>
        <w:rPr>
          <w:rFonts w:ascii="Microsoft JhengHei" w:cs="Microsoft JhengHei" w:eastAsia="Microsoft JhengHei" w:hAnsi="Microsoft JhengHei"/>
          <w:b/>
          <w:bCs/>
          <w:color w:val="1F3864"/>
          <w:sz w:val="25"/>
          <w:szCs w:val="25"/>
        </w:rPr>
        <w:t xml:space="preserve">6. OKX 雙幣贏（Dual Investment）深度剖析</w:t>
      </w:r>
    </w:p>
    <w:p>
      <w:pPr>
        <w:pStyle w:val="Heading3"/>
        <w:spacing w:after="120" w:before="220"/>
      </w:pPr>
      <w:r>
        <w:rPr>
          <w:rFonts w:ascii="Microsoft JhengHei" w:cs="Microsoft JhengHei" w:eastAsia="Microsoft JhengHei" w:hAnsi="Microsoft JhengHei"/>
          <w:b/>
          <w:bCs/>
          <w:color w:val="2E5395"/>
          <w:sz w:val="22"/>
          <w:szCs w:val="22"/>
        </w:rPr>
        <w:t xml:space="preserve">6.1 金融工程底層原理</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結構</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選擇權對應部位</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機制說明</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低買（Buy Low）</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出售看跌期權（Short Put）</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投資人以 USDT（或計價幣）申購，約定行使價（低於現貨價）；若結算價跌破行使價，投資人本金將被強制轉換為標的資產（等同於「被行權接盤」）</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高賣（Sell High）</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出售看漲期權（Short Call）</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投資人以標的資產（如 BTC）申購，約定行使價（高於現貨價）；若結算價漲破行使價，投資人資產將被強制轉換為計價幣（等同於「被行權賣出」）</w:t>
            </w:r>
          </w:p>
        </w:tc>
      </w:tr>
    </w:tbl>
    <w:p>
      <w:pPr>
        <w:spacing w:after="160"/>
      </w:pPr>
    </w:p>
    <w:p>
      <w:pPr>
        <w:spacing w:after="160" w:line="300"/>
      </w:pPr>
      <w:r>
        <w:rPr>
          <w:rFonts w:ascii="Microsoft JhengHei" w:cs="Microsoft JhengHei" w:eastAsia="Microsoft JhengHei" w:hAnsi="Microsoft JhengHei"/>
          <w:sz w:val="21"/>
          <w:szCs w:val="21"/>
        </w:rPr>
        <w:t xml:space="preserve">依 OKX 官方說明，投資人可自訂行使價（Target Price）與天期（Term，指自計息起算至到期之天數），</w:t>
      </w:r>
      <w:r>
        <w:rPr>
          <w:rFonts w:ascii="Microsoft JhengHei" w:cs="Microsoft JhengHei" w:eastAsia="Microsoft JhengHei" w:hAnsi="Microsoft JhengHei"/>
          <w:b/>
          <w:bCs/>
          <w:sz w:val="21"/>
          <w:szCs w:val="21"/>
        </w:rPr>
        <w:t xml:space="preserve">「距離現貨越近，可獲得之年化利率越高，但轉換（履約）機率亦隨之提高」</w:t>
      </w:r>
      <w:r>
        <w:rPr>
          <w:rFonts w:ascii="Microsoft JhengHei" w:cs="Microsoft JhengHei" w:eastAsia="Microsoft JhengHei" w:hAnsi="Microsoft JhengHei"/>
          <w:sz w:val="21"/>
          <w:szCs w:val="21"/>
        </w:rPr>
        <w:t xml:space="preserve">，且</w:t>
      </w:r>
      <w:r>
        <w:rPr>
          <w:rFonts w:ascii="Microsoft JhengHei" w:cs="Microsoft JhengHei" w:eastAsia="Microsoft JhengHei" w:hAnsi="Microsoft JhengHei"/>
          <w:b/>
          <w:bCs/>
          <w:sz w:val="21"/>
          <w:szCs w:val="21"/>
        </w:rPr>
        <w:t xml:space="preserve">「年化利率 = 產品期間之固定報酬率 × 365 ÷ Term」</w:t>
      </w:r>
      <w:r>
        <w:rPr>
          <w:rFonts w:ascii="Microsoft JhengHei" w:cs="Microsoft JhengHei" w:eastAsia="Microsoft JhengHei" w:hAnsi="Microsoft JhengHei"/>
          <w:sz w:val="21"/>
          <w:szCs w:val="21"/>
        </w:rPr>
        <w:t xml:space="preserve">——此公式本質即為選擇權權利金之年化換算，而非傳統意義之利息。</w:t>
      </w:r>
    </w:p>
    <w:p>
      <w:pPr>
        <w:pStyle w:val="Heading3"/>
        <w:spacing w:after="120" w:before="220"/>
      </w:pPr>
      <w:r>
        <w:rPr>
          <w:rFonts w:ascii="Microsoft JhengHei" w:cs="Microsoft JhengHei" w:eastAsia="Microsoft JhengHei" w:hAnsi="Microsoft JhengHei"/>
          <w:b/>
          <w:bCs/>
          <w:color w:val="2E5395"/>
          <w:sz w:val="22"/>
          <w:szCs w:val="22"/>
        </w:rPr>
        <w:t xml:space="preserve">6.2 最新市場收益數據</w:t>
      </w:r>
    </w:p>
    <w:p>
      <w:pPr>
        <w:spacing w:after="160" w:line="300"/>
      </w:pPr>
      <w:r>
        <w:rPr>
          <w:rFonts w:ascii="Microsoft JhengHei" w:cs="Microsoft JhengHei" w:eastAsia="Microsoft JhengHei" w:hAnsi="Microsoft JhengHei"/>
          <w:sz w:val="21"/>
          <w:szCs w:val="21"/>
        </w:rPr>
        <w:t xml:space="preserve">OKX 官方頁面未固定揭露單一年化數字，其年化區間隨標的資產、行使價距離與天期即時變動。同業（Binance，見第 7 章）官方揭露之雙幣理財年化區間約為 </w:t>
      </w:r>
      <w:r>
        <w:rPr>
          <w:rFonts w:ascii="Microsoft JhengHei" w:cs="Microsoft JhengHei" w:eastAsia="Microsoft JhengHei" w:hAnsi="Microsoft JhengHei"/>
          <w:b/>
          <w:bCs/>
          <w:sz w:val="21"/>
          <w:szCs w:val="21"/>
        </w:rPr>
        <w:t xml:space="preserve">4%–138%</w:t>
      </w:r>
      <w:r>
        <w:rPr>
          <w:rFonts w:ascii="Microsoft JhengHei" w:cs="Microsoft JhengHei" w:eastAsia="Microsoft JhengHei" w:hAnsi="Microsoft JhengHei"/>
          <w:sz w:val="21"/>
          <w:szCs w:val="21"/>
        </w:rPr>
        <w:t xml:space="preserve">（部分歷史商品曾達 175%），可作為此類結構型商品市場定價區間之參照基準——</w:t>
      </w:r>
      <w:r>
        <w:rPr>
          <w:rFonts w:ascii="Microsoft JhengHei" w:cs="Microsoft JhengHei" w:eastAsia="Microsoft JhengHei" w:hAnsi="Microsoft JhengHei"/>
          <w:b/>
          <w:bCs/>
          <w:sz w:val="21"/>
          <w:szCs w:val="21"/>
        </w:rPr>
        <w:t xml:space="preserve">年化利率之高低直接對應該天期內市場隱含波動率（Implied Volatility）之高低</w:t>
      </w:r>
      <w:r>
        <w:rPr>
          <w:rFonts w:ascii="Microsoft JhengHei" w:cs="Microsoft JhengHei" w:eastAsia="Microsoft JhengHei" w:hAnsi="Microsoft JhengHei"/>
          <w:sz w:val="21"/>
          <w:szCs w:val="21"/>
        </w:rPr>
        <w:t xml:space="preserve">。</w:t>
      </w:r>
    </w:p>
    <w:p>
      <w:pPr>
        <w:pStyle w:val="Heading3"/>
        <w:spacing w:after="120" w:before="220"/>
      </w:pPr>
      <w:r>
        <w:rPr>
          <w:rFonts w:ascii="Microsoft JhengHei" w:cs="Microsoft JhengHei" w:eastAsia="Microsoft JhengHei" w:hAnsi="Microsoft JhengHei"/>
          <w:b/>
          <w:bCs/>
          <w:color w:val="2E5395"/>
          <w:sz w:val="22"/>
          <w:szCs w:val="22"/>
        </w:rPr>
        <w:t xml:space="preserve">6.3 百萬資金情境損益試算（示意性範例：低買 BTC）</w:t>
      </w:r>
    </w:p>
    <w:p>
      <w:pPr>
        <w:pBdr>
          <w:left w:val="single" w:color="1F3864" w:sz="18"/>
        </w:pBdr>
        <w:shd w:fill="F2F2F2" w:val="clear"/>
        <w:spacing w:after="200" w:before="120"/>
        <w:ind w:left="360"/>
      </w:pPr>
      <w:r>
        <w:rPr>
          <w:rFonts w:ascii="Microsoft JhengHei" w:cs="Microsoft JhengHei" w:eastAsia="Microsoft JhengHei" w:hAnsi="Microsoft JhengHei"/>
          <w:i/>
          <w:iCs/>
          <w:sz w:val="21"/>
          <w:szCs w:val="21"/>
        </w:rPr>
        <w:t xml:space="preserve">以下為</w:t>
      </w:r>
      <w:r>
        <w:rPr>
          <w:rFonts w:ascii="Microsoft JhengHei" w:cs="Microsoft JhengHei" w:eastAsia="Microsoft JhengHei" w:hAnsi="Microsoft JhengHei"/>
          <w:b/>
          <w:bCs/>
          <w:i/>
          <w:iCs/>
          <w:sz w:val="21"/>
          <w:szCs w:val="21"/>
        </w:rPr>
        <w:t xml:space="preserve">示意性範例</w:t>
      </w:r>
      <w:r>
        <w:rPr>
          <w:rFonts w:ascii="Microsoft JhengHei" w:cs="Microsoft JhengHei" w:eastAsia="Microsoft JhengHei" w:hAnsi="Microsoft JhengHei"/>
          <w:i/>
          <w:iCs/>
          <w:sz w:val="21"/>
          <w:szCs w:val="21"/>
        </w:rPr>
        <w:t xml:space="preserve">，用以展示金融工程機制與損益特性，非市場預測或即時報價。</w:t>
      </w:r>
    </w:p>
    <w:p>
      <w:pPr>
        <w:spacing w:after="160" w:line="300"/>
      </w:pPr>
      <w:r>
        <w:rPr>
          <w:rFonts w:ascii="Microsoft JhengHei" w:cs="Microsoft JhengHei" w:eastAsia="Microsoft JhengHei" w:hAnsi="Microsoft JhengHei"/>
          <w:b/>
          <w:bCs/>
          <w:sz w:val="21"/>
          <w:szCs w:val="21"/>
        </w:rPr>
        <w:t xml:space="preserve">產品設定：</w:t>
      </w:r>
      <w:r>
        <w:rPr>
          <w:rFonts w:ascii="Microsoft JhengHei" w:cs="Microsoft JhengHei" w:eastAsia="Microsoft JhengHei" w:hAnsi="Microsoft JhengHei"/>
          <w:sz w:val="21"/>
          <w:szCs w:val="21"/>
        </w:rPr>
        <w:t xml:space="preserve"> BTC/USDT 現貨價 $60,000；行使價 $57,000（價外 5%）；天期 7 天；示意年化 45%。</w:t>
      </w:r>
    </w:p>
    <w:p>
      <w:pPr>
        <w:spacing w:after="160" w:line="300"/>
      </w:pPr>
      <w:r>
        <w:rPr>
          <w:rFonts w:ascii="Microsoft JhengHei" w:cs="Microsoft JhengHei" w:eastAsia="Microsoft JhengHei" w:hAnsi="Microsoft JhengHei"/>
          <w:b/>
          <w:bCs/>
          <w:sz w:val="21"/>
          <w:szCs w:val="21"/>
        </w:rPr>
        <w:t xml:space="preserve">權利金收入：</w:t>
      </w:r>
      <w:r>
        <w:rPr>
          <w:rFonts w:ascii="Microsoft JhengHei" w:cs="Microsoft JhengHei" w:eastAsia="Microsoft JhengHei" w:hAnsi="Microsoft JhengHei"/>
          <w:sz w:val="21"/>
          <w:szCs w:val="21"/>
        </w:rPr>
        <w:t xml:space="preserve"> $1,000,000 × 45% × (7/365) ≈ </w:t>
      </w:r>
      <w:r>
        <w:rPr>
          <w:rFonts w:ascii="Microsoft JhengHei" w:cs="Microsoft JhengHei" w:eastAsia="Microsoft JhengHei" w:hAnsi="Microsoft JhengHei"/>
          <w:b/>
          <w:bCs/>
          <w:sz w:val="21"/>
          <w:szCs w:val="21"/>
        </w:rPr>
        <w:t xml:space="preserve">$8,630.14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情境</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結算條件</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損益結果</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情境 1：價外到期</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結算價 ≥ $57,000（未跌破行使價）</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取回本金 $1,000,000 + 權利金 $8,630.14 = </w:t>
            </w:r>
            <w:r>
              <w:rPr>
                <w:rFonts w:ascii="Microsoft JhengHei" w:cs="Microsoft JhengHei" w:eastAsia="Microsoft JhengHei" w:hAnsi="Microsoft JhengHei"/>
                <w:b/>
                <w:bCs/>
                <w:sz w:val="18"/>
                <w:szCs w:val="18"/>
              </w:rPr>
              <w:t xml:space="preserve">$1,008,630.14</w:t>
            </w:r>
            <w:r>
              <w:rPr>
                <w:rFonts w:ascii="Microsoft JhengHei" w:cs="Microsoft JhengHei" w:eastAsia="Microsoft JhengHei" w:hAnsi="Microsoft JhengHei"/>
                <w:sz w:val="18"/>
                <w:szCs w:val="18"/>
              </w:rPr>
              <w:t xml:space="preserve">（單週報酬率 +0.86%）</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情境 2：小幅價內</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結算價微幅跌破行使價，例如 $55,000</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強制以 $57,000 換購 BTC，取得 17.5439 BTC；以結算價 $55,000 計值 = $964,912.30，加計權利金後總值 </w:t>
            </w:r>
            <w:r>
              <w:rPr>
                <w:rFonts w:ascii="Microsoft JhengHei" w:cs="Microsoft JhengHei" w:eastAsia="Microsoft JhengHei" w:hAnsi="Microsoft JhengHei"/>
                <w:b/>
                <w:bCs/>
                <w:sz w:val="18"/>
                <w:szCs w:val="18"/>
              </w:rPr>
              <w:t xml:space="preserve">$973,542.44</w:t>
            </w:r>
            <w:r>
              <w:rPr>
                <w:rFonts w:ascii="Microsoft JhengHei" w:cs="Microsoft JhengHei" w:eastAsia="Microsoft JhengHei" w:hAnsi="Microsoft JhengHei"/>
                <w:sz w:val="18"/>
                <w:szCs w:val="18"/>
              </w:rPr>
              <w:t xml:space="preserve">（單週報酬率 -2.65%，權利金部分抵銷跌幅）</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情境 3：深度價內（單週暴跌 25%）</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結算價跌至 $45,000</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強制以 $57,000 換購 BTC，取得 17.5439 BTC；以結算價 $45,000 計值 = $789,474.60，加計權利金後總值 </w:t>
            </w:r>
            <w:r>
              <w:rPr>
                <w:rFonts w:ascii="Microsoft JhengHei" w:cs="Microsoft JhengHei" w:eastAsia="Microsoft JhengHei" w:hAnsi="Microsoft JhengHei"/>
                <w:b/>
                <w:bCs/>
                <w:sz w:val="18"/>
                <w:szCs w:val="18"/>
              </w:rPr>
              <w:t xml:space="preserve">$798,104.74</w:t>
            </w:r>
            <w:r>
              <w:rPr>
                <w:rFonts w:ascii="Microsoft JhengHei" w:cs="Microsoft JhengHei" w:eastAsia="Microsoft JhengHei" w:hAnsi="Microsoft JhengHei"/>
                <w:sz w:val="18"/>
                <w:szCs w:val="18"/>
              </w:rPr>
              <w:t xml:space="preserve">（單週報酬率 </w:t>
            </w:r>
            <w:r>
              <w:rPr>
                <w:rFonts w:ascii="Microsoft JhengHei" w:cs="Microsoft JhengHei" w:eastAsia="Microsoft JhengHei" w:hAnsi="Microsoft JhengHei"/>
                <w:b/>
                <w:bCs/>
                <w:sz w:val="18"/>
                <w:szCs w:val="18"/>
              </w:rPr>
              <w:t xml:space="preserve">-20.19%</w:t>
            </w:r>
            <w:r>
              <w:rPr>
                <w:rFonts w:ascii="Microsoft JhengHei" w:cs="Microsoft JhengHei" w:eastAsia="Microsoft JhengHei" w:hAnsi="Microsoft JhengHei"/>
                <w:sz w:val="18"/>
                <w:szCs w:val="18"/>
              </w:rPr>
              <w:t xml:space="preserve">）</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6.4 財務運用場景</w:t>
      </w:r>
    </w:p>
    <w:p>
      <w:pPr>
        <w:spacing w:after="160" w:line="30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設定目標價逢低分批建倉：</w:t>
      </w:r>
      <w:r>
        <w:rPr>
          <w:rFonts w:ascii="Microsoft JhengHei" w:cs="Microsoft JhengHei" w:eastAsia="Microsoft JhengHei" w:hAnsi="Microsoft JhengHei"/>
          <w:sz w:val="21"/>
          <w:szCs w:val="21"/>
        </w:rPr>
        <w:t xml:space="preserve"> 若公司財務策略本即規劃以特定價位分批累積 BTC 現貨儲備，可透過「低買」結構於等待建倉價位期間同時賺取權利金，等同於「限價單 + 額外收益」之複合工具。</w:t>
      </w:r>
    </w:p>
    <w:p>
      <w:pPr>
        <w:spacing w:after="160" w:line="30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震盪市掛深度價外（OTM 10%+）收益增強：</w:t>
      </w:r>
      <w:r>
        <w:rPr>
          <w:rFonts w:ascii="Microsoft JhengHei" w:cs="Microsoft JhengHei" w:eastAsia="Microsoft JhengHei" w:hAnsi="Microsoft JhengHei"/>
          <w:sz w:val="21"/>
          <w:szCs w:val="21"/>
        </w:rPr>
        <w:t xml:space="preserve"> 於預期標的價格窄幅震盪之市場環境，可將行使價設定於顯著價外（例如 -10% 以上），大幅降低轉換機率，以較低年化換取較高之本金安全邊際。</w:t>
      </w:r>
    </w:p>
    <w:p>
      <w:pPr>
        <w:pStyle w:val="Heading2"/>
        <w:spacing w:after="140" w:before="300"/>
      </w:pPr>
      <w:r>
        <w:rPr>
          <w:rFonts w:ascii="Microsoft JhengHei" w:cs="Microsoft JhengHei" w:eastAsia="Microsoft JhengHei" w:hAnsi="Microsoft JhengHei"/>
          <w:b/>
          <w:bCs/>
          <w:color w:val="1F3864"/>
          <w:sz w:val="25"/>
          <w:szCs w:val="25"/>
        </w:rPr>
        <w:t xml:space="preserve">7. Binance 雙幣投資（Dual Investment）深度剖析</w:t>
      </w:r>
    </w:p>
    <w:p>
      <w:pPr>
        <w:pStyle w:val="Heading3"/>
        <w:spacing w:after="120" w:before="220"/>
      </w:pPr>
      <w:r>
        <w:rPr>
          <w:rFonts w:ascii="Microsoft JhengHei" w:cs="Microsoft JhengHei" w:eastAsia="Microsoft JhengHei" w:hAnsi="Microsoft JhengHei"/>
          <w:b/>
          <w:bCs/>
          <w:color w:val="2E5395"/>
          <w:sz w:val="22"/>
          <w:szCs w:val="22"/>
        </w:rPr>
        <w:t xml:space="preserve">7.1 產品架構與 OKX 之異同</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比較維度</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Binance 雙幣投資</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雙幣贏</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產品期限</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官方公開資訊顯示天期自 1 天至數週不等，可依市場行情動態上架</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天期（Term）同樣為計息日至到期日之天數，用戶或系統依市場條件設定</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標的資產豐富度</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涵蓋 BTC、ETH 及多組主流交易對</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官方揭露涵蓋 BTC、ETH、USDT 三種計價幣別，六種投資策略組合</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交割時間點</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依產品條款於結算日固定時點交割</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2025 年 4 月起調整為每日 UTC+8 16:30 進行結算</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特色功能：自動複投（Auto-Compound）</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提供 Auto-Compound 功能，用戶可選擇「基礎方案（Basic Plan）」或「進階方案（Advanced Plan）」，系統於結算日依「是否觸及目標價」自動決定平倉或以新條件再訂閱，</w:t>
            </w:r>
            <w:r>
              <w:rPr>
                <w:rFonts w:ascii="Microsoft JhengHei" w:cs="Microsoft JhengHei" w:eastAsia="Microsoft JhengHei" w:hAnsi="Microsoft JhengHei"/>
                <w:b/>
                <w:bCs/>
                <w:sz w:val="18"/>
                <w:szCs w:val="18"/>
              </w:rPr>
              <w:t xml:space="preserve">惟此功能亦意味著本金可能連續多期暴露於選擇權履約風險，須留意連續期間之累積曝險</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另提供「提前贖回（Early Redemption）」機制，用戶可於到期前主動平倉（惟通常須犧牲部分已累積權利金或支付提前贖回成本）</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7.2 收益與損益特性：官方揭露年化區間</w:t>
      </w:r>
    </w:p>
    <w:p>
      <w:pPr>
        <w:spacing w:after="160" w:line="300"/>
      </w:pPr>
      <w:r>
        <w:rPr>
          <w:rFonts w:ascii="Microsoft JhengHei" w:cs="Microsoft JhengHei" w:eastAsia="Microsoft JhengHei" w:hAnsi="Microsoft JhengHei"/>
          <w:sz w:val="21"/>
          <w:szCs w:val="21"/>
        </w:rPr>
        <w:t xml:space="preserve">依 Binance 官方公告與歷史活動頁面：</w:t>
      </w:r>
      <w:r>
        <w:rPr>
          <w:rFonts w:ascii="Microsoft JhengHei" w:cs="Microsoft JhengHei" w:eastAsia="Microsoft JhengHei" w:hAnsi="Microsoft JhengHei"/>
          <w:b/>
          <w:bCs/>
          <w:sz w:val="21"/>
          <w:szCs w:val="21"/>
        </w:rPr>
        <w:t xml:space="preserve">Dual Investment 存款貨幣年化報酬區間約為 4% 至 138%</w:t>
      </w:r>
      <w:r>
        <w:rPr>
          <w:rFonts w:ascii="Microsoft JhengHei" w:cs="Microsoft JhengHei" w:eastAsia="Microsoft JhengHei" w:hAnsi="Microsoft JhengHei"/>
          <w:sz w:val="21"/>
          <w:szCs w:val="21"/>
        </w:rPr>
        <w:t xml:space="preserve">，部分特定高波動性商品之歷史公告年化甚至達 </w:t>
      </w:r>
      <w:r>
        <w:rPr>
          <w:rFonts w:ascii="Microsoft JhengHei" w:cs="Microsoft JhengHei" w:eastAsia="Microsoft JhengHei" w:hAnsi="Microsoft JhengHei"/>
          <w:b/>
          <w:bCs/>
          <w:sz w:val="21"/>
          <w:szCs w:val="21"/>
        </w:rPr>
        <w:t xml:space="preserve">175%</w:t>
      </w:r>
      <w:r>
        <w:rPr>
          <w:rFonts w:ascii="Microsoft JhengHei" w:cs="Microsoft JhengHei" w:eastAsia="Microsoft JhengHei" w:hAnsi="Microsoft JhengHei"/>
          <w:sz w:val="21"/>
          <w:szCs w:val="21"/>
        </w:rPr>
        <w:t xml:space="preserve">。此區間之寬度直接反映不同「行使價距離（Strike Distance）」與「天期」組合下，市場隱含波動率定價之巨大差異——</w:t>
      </w:r>
      <w:r>
        <w:rPr>
          <w:rFonts w:ascii="Microsoft JhengHei" w:cs="Microsoft JhengHei" w:eastAsia="Microsoft JhengHei" w:hAnsi="Microsoft JhengHei"/>
          <w:b/>
          <w:bCs/>
          <w:sz w:val="21"/>
          <w:szCs w:val="21"/>
        </w:rPr>
        <w:t xml:space="preserve">行使價越接近現貨（低 Strike Distance）、天期越短，年化報酬率通常越高，但轉換機率亦同步提高</w:t>
      </w:r>
      <w:r>
        <w:rPr>
          <w:rFonts w:ascii="Microsoft JhengHei" w:cs="Microsoft JhengHei" w:eastAsia="Microsoft JhengHei" w:hAnsi="Microsoft JhengHei"/>
          <w:sz w:val="21"/>
          <w:szCs w:val="21"/>
        </w:rPr>
        <w:t xml:space="preserve">，與 OKX 之定價邏輯一致。</w:t>
      </w:r>
    </w:p>
    <w:p>
      <w:pPr>
        <w:pStyle w:val="Heading3"/>
        <w:spacing w:after="120" w:before="220"/>
      </w:pPr>
      <w:r>
        <w:rPr>
          <w:rFonts w:ascii="Microsoft JhengHei" w:cs="Microsoft JhengHei" w:eastAsia="Microsoft JhengHei" w:hAnsi="Microsoft JhengHei"/>
          <w:b/>
          <w:bCs/>
          <w:color w:val="2E5395"/>
          <w:sz w:val="22"/>
          <w:szCs w:val="22"/>
        </w:rPr>
        <w:t xml:space="preserve">7.3 百萬資金情境損益試算（示意性範例）</w:t>
      </w:r>
    </w:p>
    <w:p>
      <w:pPr>
        <w:spacing w:after="160" w:line="300"/>
      </w:pPr>
      <w:r>
        <w:rPr>
          <w:rFonts w:ascii="Microsoft JhengHei" w:cs="Microsoft JhengHei" w:eastAsia="Microsoft JhengHei" w:hAnsi="Microsoft JhengHei"/>
          <w:sz w:val="21"/>
          <w:szCs w:val="21"/>
        </w:rPr>
        <w:t xml:space="preserve">沿用第 6 章相同之損益試算方法論（本金 $1,000,000、行使價價外 5%、天期 7 天、示意年化 45%），Binance 與 OKX 雙幣理財於相同行使價距與天期參數下，</w:t>
      </w:r>
      <w:r>
        <w:rPr>
          <w:rFonts w:ascii="Microsoft JhengHei" w:cs="Microsoft JhengHei" w:eastAsia="Microsoft JhengHei" w:hAnsi="Microsoft JhengHei"/>
          <w:b/>
          <w:bCs/>
          <w:sz w:val="21"/>
          <w:szCs w:val="21"/>
        </w:rPr>
        <w:t xml:space="preserve">理論損益結構完全一致</w:t>
      </w:r>
      <w:r>
        <w:rPr>
          <w:rFonts w:ascii="Microsoft JhengHei" w:cs="Microsoft JhengHei" w:eastAsia="Microsoft JhengHei" w:hAnsi="Microsoft JhengHei"/>
          <w:sz w:val="21"/>
          <w:szCs w:val="21"/>
        </w:rPr>
        <w:t xml:space="preserve">（同為出售選擇權之權利金收取模式），實際年化報價差異主要來自兩平台當下之訂單簿深度與做市商報價差異，屬於</w:t>
      </w:r>
      <w:r>
        <w:rPr>
          <w:rFonts w:ascii="Microsoft JhengHei" w:cs="Microsoft JhengHei" w:eastAsia="Microsoft JhengHei" w:hAnsi="Microsoft JhengHei"/>
          <w:b/>
          <w:bCs/>
          <w:sz w:val="21"/>
          <w:szCs w:val="21"/>
        </w:rPr>
        <w:t xml:space="preserve">執行價格層面之微小落差</w:t>
      </w:r>
      <w:r>
        <w:rPr>
          <w:rFonts w:ascii="Microsoft JhengHei" w:cs="Microsoft JhengHei" w:eastAsia="Microsoft JhengHei" w:hAnsi="Microsoft JhengHei"/>
          <w:sz w:val="21"/>
          <w:szCs w:val="21"/>
        </w:rPr>
        <w:t xml:space="preserve">，而非底層金融工程邏輯之差異。</w:t>
      </w:r>
    </w:p>
    <w:p>
      <w:pPr>
        <w:pStyle w:val="Heading3"/>
        <w:spacing w:after="120" w:before="220"/>
      </w:pPr>
      <w:r>
        <w:rPr>
          <w:rFonts w:ascii="Microsoft JhengHei" w:cs="Microsoft JhengHei" w:eastAsia="Microsoft JhengHei" w:hAnsi="Microsoft JhengHei"/>
          <w:b/>
          <w:bCs/>
          <w:color w:val="2E5395"/>
          <w:sz w:val="22"/>
          <w:szCs w:val="22"/>
        </w:rPr>
        <w:t xml:space="preserve">7.4 財務運用場景</w:t>
      </w:r>
    </w:p>
    <w:p>
      <w:pPr>
        <w:spacing w:after="160" w:line="30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高賣獲利了結：</w:t>
      </w:r>
      <w:r>
        <w:rPr>
          <w:rFonts w:ascii="Microsoft JhengHei" w:cs="Microsoft JhengHei" w:eastAsia="Microsoft JhengHei" w:hAnsi="Microsoft JhengHei"/>
          <w:sz w:val="21"/>
          <w:szCs w:val="21"/>
        </w:rPr>
        <w:t xml:space="preserve"> 若公司資產負債表已持有 BTC/ETH 等加密貨幣部位，且財務策略設定特定價位進行部分獲利了結，可透過「高賣」結構於等待目標賣出價位期間同時賺取權利金。</w:t>
      </w:r>
    </w:p>
    <w:p>
      <w:pPr>
        <w:spacing w:after="160" w:line="30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低買策略性積累代幣資產：</w:t>
      </w:r>
      <w:r>
        <w:rPr>
          <w:rFonts w:ascii="Microsoft JhengHei" w:cs="Microsoft JhengHei" w:eastAsia="Microsoft JhengHei" w:hAnsi="Microsoft JhengHei"/>
          <w:sz w:val="21"/>
          <w:szCs w:val="21"/>
        </w:rPr>
        <w:t xml:space="preserve"> 搭配 Auto-Compound 功能，可將「逢低承接」策略系統化、規則化執行，惟財務部應留意 Auto-Compound 機制下之</w:t>
      </w:r>
      <w:r>
        <w:rPr>
          <w:rFonts w:ascii="Microsoft JhengHei" w:cs="Microsoft JhengHei" w:eastAsia="Microsoft JhengHei" w:hAnsi="Microsoft JhengHei"/>
          <w:b/>
          <w:bCs/>
          <w:sz w:val="21"/>
          <w:szCs w:val="21"/>
        </w:rPr>
        <w:t xml:space="preserve">連續期間累積曝險</w:t>
      </w:r>
      <w:r>
        <w:rPr>
          <w:rFonts w:ascii="Microsoft JhengHei" w:cs="Microsoft JhengHei" w:eastAsia="Microsoft JhengHei" w:hAnsi="Microsoft JhengHei"/>
          <w:sz w:val="21"/>
          <w:szCs w:val="21"/>
        </w:rPr>
        <w:t xml:space="preserve">，避免於單邊持續下跌行情中被迫連續多期以不利價格承接貶值資產。</w:t>
      </w:r>
    </w:p>
    <w:p>
      <w:pPr>
        <w:pStyle w:val="Heading2"/>
        <w:spacing w:after="140" w:before="300"/>
      </w:pPr>
      <w:r>
        <w:rPr>
          <w:rFonts w:ascii="Microsoft JhengHei" w:cs="Microsoft JhengHei" w:eastAsia="Microsoft JhengHei" w:hAnsi="Microsoft JhengHei"/>
          <w:b/>
          <w:bCs/>
          <w:color w:val="1F3864"/>
          <w:sz w:val="25"/>
          <w:szCs w:val="25"/>
        </w:rPr>
        <w:t xml:space="preserve">8. 財務部專題：會計處理與外部審計（IFRS / Big 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比較維度</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Bitfinex USD 放貸</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 Binance USDT 活期理財</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 Binance 雙幣理財</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建議會計科目</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現金及約當現金 / 短期金融資產</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虛擬資產（Digital Asset）存貨或無形資產，部分準則下列為金融資產</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嵌入式衍生工具（Embedded Derivative），建議以公允價值列入損益（FVTPL）</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計價貨幣風險</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無（美元法幣）</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有（USDT 儲備金與脫錨風險）</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有（計價幣別 + 選擇權標的資產雙重波動）</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期末公允價值評價模型</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不需複雜評價（面額計價，僅需認列應計利息）</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需依資產負債表日市價評價</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需採用選擇權定價模型（如 Black-Scholes 或二項式模型）進行公允價值重評價</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減損測試</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不適用（僅需評估交易對手信用減損）</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適用，需定期執行虛擬資產減損測試</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適用於嵌入式衍生工具之公允價值變動，需拆解主合約與衍生工具分別評價</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外部審計（Big 4）函證難度</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中等——離岸交易所函證程序需逐案協調，惟資產性質單純</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中等偏難——需同時函證本金餘額與階梯利率適用明細</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高難度——需另外取得選擇權合約條款、行使價、結算機制之第三方佐證文件，函證範本市場尚未標準化</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合規成本（相對排序）</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w:t>
            </w:r>
          </w:p>
        </w:tc>
      </w:tr>
    </w:tbl>
    <w:p>
      <w:pPr>
        <w:spacing w:after="160"/>
      </w:pPr>
    </w:p>
    <w:p>
      <w:pPr>
        <w:pStyle w:val="Heading2"/>
        <w:spacing w:after="140" w:before="300"/>
      </w:pPr>
      <w:r>
        <w:rPr>
          <w:rFonts w:ascii="Microsoft JhengHei" w:cs="Microsoft JhengHei" w:eastAsia="Microsoft JhengHei" w:hAnsi="Microsoft JhengHei"/>
          <w:b/>
          <w:bCs/>
          <w:color w:val="1F3864"/>
          <w:sz w:val="25"/>
          <w:szCs w:val="25"/>
        </w:rPr>
        <w:t xml:space="preserve">9. 五大策略綜合決策矩陣（Comprehensive Comparison Matrix）</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8"/>
        <w:gridCol w:w="1558"/>
        <w:gridCol w:w="1558"/>
        <w:gridCol w:w="1558"/>
        <w:gridCol w:w="1558"/>
        <w:gridCol w:w="1560"/>
      </w:tblGrid>
      <w:tr>
        <w:trPr>
          <w:tblHeader/>
        </w:trPr>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指標</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Bitfinex USD 放貸</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活期理財</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Binance 活期理財</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雙幣贏</w:t>
            </w:r>
          </w:p>
        </w:tc>
        <w:tc>
          <w:tcPr>
            <w:tcW w:type="dxa" w:w="156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Binance 雙幣投資</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標的資產</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美元法幣</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USDT</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USDT</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USDT/BTC/ETH</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USDT/BTC/ETH</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收益本質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利息收入</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利息收入（階梯稀釋）</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利息收入（階梯稀釋）</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選擇權權利金</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選擇權權利金</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機構百萬資金真實 APY（示意）</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4.25%–17.0%+（基準 10.29%）</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約 1.70%–4.25%（基準 2.98%）</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約 1.50%</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名目 4%–138%（範例 45%），惟受行使價觸及與否影響實際結果</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官方揭露 4%–138%（歷史高點 175%）</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本金保障機制</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不受市場方向影響，僅承擔交易對手信用風險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名目本金穩定，承擔平台表內信用曝險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名目本金穩定，承擔平台表內信用曝險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本金可能依行使價強制轉換為標的資產</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本金可能依行使價強制轉換為標的資產</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Delta / 市場方向風險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無</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低（僅脫錨風險）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低（僅脫錨風險）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有（方向性曝險）</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有（方向性曝險）</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流動性召回週期</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天期內鎖定（可階梯管理，2–120 天彈性）</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即時 / 近即時</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即時 / 近即時</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鎖定至結算日（OKX 支援提前贖回，惟有成本）</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鎖定至結算日（Auto-Compound 下可能連續多期）</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單一交易對手集中度</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依單一平台曝險上限管理（10%–15%）</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依緩衝池額度上限管理</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依緩衝池額度上限管理</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依單一平台曝險上限與 OTM 緩衝門檻管理</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依單一平台曝險上限與 OTM 緩衝門檻管理</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會計處理複雜度</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w:t>
            </w:r>
          </w:p>
        </w:tc>
      </w:tr>
    </w:tbl>
    <w:p>
      <w:pPr>
        <w:spacing w:after="160"/>
      </w:pPr>
    </w:p>
    <w:p>
      <w:pPr>
        <w:pStyle w:val="Heading2"/>
        <w:spacing w:after="140" w:before="300"/>
      </w:pPr>
      <w:r>
        <w:rPr>
          <w:rFonts w:ascii="Microsoft JhengHei" w:cs="Microsoft JhengHei" w:eastAsia="Microsoft JhengHei" w:hAnsi="Microsoft JhengHei"/>
          <w:b/>
          <w:bCs/>
          <w:color w:val="1F3864"/>
          <w:sz w:val="25"/>
          <w:szCs w:val="25"/>
        </w:rPr>
        <w:t xml:space="preserve">10. 財務部資產配置模擬模型（Asset Allocation Models）</w:t>
      </w:r>
    </w:p>
    <w:p>
      <w:pPr>
        <w:pStyle w:val="Heading3"/>
        <w:spacing w:after="120" w:before="220"/>
      </w:pPr>
      <w:r>
        <w:rPr>
          <w:rFonts w:ascii="Microsoft JhengHei" w:cs="Microsoft JhengHei" w:eastAsia="Microsoft JhengHei" w:hAnsi="Microsoft JhengHei"/>
          <w:b/>
          <w:bCs/>
          <w:color w:val="2E5395"/>
          <w:sz w:val="22"/>
          <w:szCs w:val="22"/>
        </w:rPr>
        <w:t xml:space="preserve">10.1 試算前提</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總資本：</w:t>
      </w:r>
      <w:r>
        <w:rPr>
          <w:rFonts w:ascii="Microsoft JhengHei" w:cs="Microsoft JhengHei" w:eastAsia="Microsoft JhengHei" w:hAnsi="Microsoft JhengHei"/>
          <w:sz w:val="21"/>
          <w:szCs w:val="21"/>
        </w:rPr>
        <w:t xml:space="preserve"> USD 1,000,000</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各標的基準情境 APY 假設：</w:t>
      </w:r>
      <w:r>
        <w:rPr>
          <w:rFonts w:ascii="Microsoft JhengHei" w:cs="Microsoft JhengHei" w:eastAsia="Microsoft JhengHei" w:hAnsi="Microsoft JhengHei"/>
          <w:sz w:val="21"/>
          <w:szCs w:val="21"/>
        </w:rPr>
        <w:t xml:space="preserve"> Bitfinex 10.29%（第 3 章基準情境）；OKX 活期 2.98%（第 4 章中位情境）；Binance 活期 1.50%（第 5 章）；OKX 雙幣 45%（第 6 章示意年化，價外到期情境）；Binance 雙幣 45%（第 7 章示意年化，價外到期情境，取與 OKX 相同參數以利同基礎比較）</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重要方法論揭露：</w:t>
      </w:r>
      <w:r>
        <w:rPr>
          <w:rFonts w:ascii="Microsoft JhengHei" w:cs="Microsoft JhengHei" w:eastAsia="Microsoft JhengHei" w:hAnsi="Microsoft JhengHei"/>
          <w:sz w:val="21"/>
          <w:szCs w:val="21"/>
        </w:rPr>
        <w:t xml:space="preserve"> 雙幣理財部位之 45% 年化係採用</w:t>
      </w:r>
      <w:r>
        <w:rPr>
          <w:rFonts w:ascii="Microsoft JhengHei" w:cs="Microsoft JhengHei" w:eastAsia="Microsoft JhengHei" w:hAnsi="Microsoft JhengHei"/>
          <w:b/>
          <w:bCs/>
          <w:sz w:val="21"/>
          <w:szCs w:val="21"/>
        </w:rPr>
        <w:t xml:space="preserve">「未觸及行使價（價外到期）」情境</w:t>
      </w:r>
      <w:r>
        <w:rPr>
          <w:rFonts w:ascii="Microsoft JhengHei" w:cs="Microsoft JhengHei" w:eastAsia="Microsoft JhengHei" w:hAnsi="Microsoft JhengHei"/>
          <w:sz w:val="21"/>
          <w:szCs w:val="21"/>
        </w:rPr>
        <w:t xml:space="preserve">計算，未反映第 6、7 章情境試算中所示之觸價本金轉換損失；若納入機率加權情境分析（參考第 6.3 節示意 EV 方法論），實際已實現之綜合年化將視市場波動與觸價機率而顯著偏離本表所示數字，甚至於單一結算週期內轉為負值。</w:t>
      </w:r>
    </w:p>
    <w:p>
      <w:pPr>
        <w:pStyle w:val="Heading3"/>
        <w:spacing w:after="120" w:before="220"/>
      </w:pPr>
      <w:r>
        <w:rPr>
          <w:rFonts w:ascii="Microsoft JhengHei" w:cs="Microsoft JhengHei" w:eastAsia="Microsoft JhengHei" w:hAnsi="Microsoft JhengHei"/>
          <w:b/>
          <w:bCs/>
          <w:color w:val="2E5395"/>
          <w:sz w:val="22"/>
          <w:szCs w:val="22"/>
        </w:rPr>
        <w:t xml:space="preserve">10.2 模型 A（穩健防禦型）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標的</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權重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基準 APY</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加權貢獻</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Bitfinex USD 放貸</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10.29%</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7.203%</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2.98%</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0.298%</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0.150%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雙幣贏</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2.250%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雙幣投資</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2.250%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綜合加權年化（Blended APY）</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12.15%</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年度預期收益（USD）</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$121,500</w:t>
            </w:r>
          </w:p>
        </w:tc>
      </w:tr>
    </w:tbl>
    <w:p>
      <w:pPr>
        <w:spacing w:after="160"/>
      </w:pPr>
    </w:p>
    <w:p>
      <w:pPr>
        <w:spacing w:after="160" w:line="300"/>
      </w:pPr>
      <w:r>
        <w:rPr>
          <w:rFonts w:ascii="Microsoft JhengHei" w:cs="Microsoft JhengHei" w:eastAsia="Microsoft JhengHei" w:hAnsi="Microsoft JhengHei"/>
          <w:b/>
          <w:bCs/>
          <w:sz w:val="21"/>
          <w:szCs w:val="21"/>
        </w:rPr>
        <w:t xml:space="preserve">流動性/風險輪廓：</w:t>
      </w:r>
      <w:r>
        <w:rPr>
          <w:rFonts w:ascii="Microsoft JhengHei" w:cs="Microsoft JhengHei" w:eastAsia="Microsoft JhengHei" w:hAnsi="Microsoft JhengHei"/>
          <w:sz w:val="21"/>
          <w:szCs w:val="21"/>
        </w:rPr>
        <w:t xml:space="preserve"> 本金保障程度最高（75% 資金無方向性曝險），T+0 流動性佔比 20%，雙幣理財曝險合計僅 10%，為五項模型中方向性風險與流動性鎖定程度最低之組合。</w:t>
      </w:r>
    </w:p>
    <w:p>
      <w:pPr>
        <w:pStyle w:val="Heading3"/>
        <w:spacing w:after="120" w:before="220"/>
      </w:pPr>
      <w:r>
        <w:rPr>
          <w:rFonts w:ascii="Microsoft JhengHei" w:cs="Microsoft JhengHei" w:eastAsia="Microsoft JhengHei" w:hAnsi="Microsoft JhengHei"/>
          <w:b/>
          <w:bCs/>
          <w:color w:val="2E5395"/>
          <w:sz w:val="22"/>
          <w:szCs w:val="22"/>
        </w:rPr>
        <w:t xml:space="preserve">10.3 模型 B（平衡收益型）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標的</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權重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基準 APY</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加權貢獻</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Bitfinex USD 放貸</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10.29%</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5.660%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2.98%</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0.298%</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0.150%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雙幣贏</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6.750%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雙幣投資</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綜合加權年化（Blended APY）</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17.36%</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年度預期收益（USD）</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$173,600</w:t>
            </w:r>
          </w:p>
        </w:tc>
      </w:tr>
    </w:tbl>
    <w:p>
      <w:pPr>
        <w:spacing w:after="160"/>
      </w:pPr>
    </w:p>
    <w:p>
      <w:pPr>
        <w:spacing w:after="160" w:line="300"/>
      </w:pPr>
      <w:r>
        <w:rPr>
          <w:rFonts w:ascii="Microsoft JhengHei" w:cs="Microsoft JhengHei" w:eastAsia="Microsoft JhengHei" w:hAnsi="Microsoft JhengHei"/>
          <w:b/>
          <w:bCs/>
          <w:sz w:val="21"/>
          <w:szCs w:val="21"/>
        </w:rPr>
        <w:t xml:space="preserve">流動性/風險輪廓：</w:t>
      </w:r>
      <w:r>
        <w:rPr>
          <w:rFonts w:ascii="Microsoft JhengHei" w:cs="Microsoft JhengHei" w:eastAsia="Microsoft JhengHei" w:hAnsi="Microsoft JhengHei"/>
          <w:sz w:val="21"/>
          <w:szCs w:val="21"/>
        </w:rPr>
        <w:t xml:space="preserve"> 無方向性曝險部位降至 55%，雙幣理財合計曝險提高至 25%，綜合加權年化顯著提升，惟同步提高本金觸價轉換之潛在情境數量與幅度。</w:t>
      </w:r>
    </w:p>
    <w:p>
      <w:pPr>
        <w:pStyle w:val="Heading3"/>
        <w:spacing w:after="120" w:before="220"/>
      </w:pPr>
      <w:r>
        <w:rPr>
          <w:rFonts w:ascii="Microsoft JhengHei" w:cs="Microsoft JhengHei" w:eastAsia="Microsoft JhengHei" w:hAnsi="Microsoft JhengHei"/>
          <w:b/>
          <w:bCs/>
          <w:color w:val="2E5395"/>
          <w:sz w:val="22"/>
          <w:szCs w:val="22"/>
        </w:rPr>
        <w:t xml:space="preserve">10.4 模型 C（戰術成長型）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標的</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權重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基準 APY</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加權貢獻</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Bitfinex USD 放貸</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10.29%</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4.116%</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2.98%</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0.298%</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0.150%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雙幣贏</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9.000%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雙幣投資</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9.000%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綜合加權年化（Blended APY）</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22.56%</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年度預期收益（USD）</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$225,600</w:t>
            </w:r>
          </w:p>
        </w:tc>
      </w:tr>
    </w:tbl>
    <w:p>
      <w:pPr>
        <w:spacing w:after="160"/>
      </w:pPr>
    </w:p>
    <w:p>
      <w:pPr>
        <w:spacing w:after="160" w:line="300"/>
      </w:pPr>
      <w:r>
        <w:rPr>
          <w:rFonts w:ascii="Microsoft JhengHei" w:cs="Microsoft JhengHei" w:eastAsia="Microsoft JhengHei" w:hAnsi="Microsoft JhengHei"/>
          <w:b/>
          <w:bCs/>
          <w:sz w:val="21"/>
          <w:szCs w:val="21"/>
        </w:rPr>
        <w:t xml:space="preserve">流動性/風險輪廓：</w:t>
      </w:r>
      <w:r>
        <w:rPr>
          <w:rFonts w:ascii="Microsoft JhengHei" w:cs="Microsoft JhengHei" w:eastAsia="Microsoft JhengHei" w:hAnsi="Microsoft JhengHei"/>
          <w:sz w:val="21"/>
          <w:szCs w:val="21"/>
        </w:rPr>
        <w:t xml:space="preserve"> 雙幣理財合計曝險達 40%，為三模型中方向性風險與潛在本金轉換規模最高之組合，適用於財務部已有明確目標價戰略建倉／減碼規劃、且可承受對應天期內本金以標的資產形式持有之情境。</w:t>
      </w:r>
    </w:p>
    <w:p>
      <w:pPr>
        <w:pStyle w:val="Heading3"/>
        <w:spacing w:after="120" w:before="220"/>
      </w:pPr>
      <w:r>
        <w:rPr>
          <w:rFonts w:ascii="Microsoft JhengHei" w:cs="Microsoft JhengHei" w:eastAsia="Microsoft JhengHei" w:hAnsi="Microsoft JhengHei"/>
          <w:b/>
          <w:bCs/>
          <w:color w:val="2E5395"/>
          <w:sz w:val="22"/>
          <w:szCs w:val="22"/>
        </w:rPr>
        <w:t xml:space="preserve">10.5 三模型彙總對比</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指標</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模型 A（穩健防禦型）</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模型 B（平衡收益型）</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模型 C（戰術成長型）</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綜合加權年化（Blended APY）</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12.15%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17.36%</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22.56%</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年度預期收益（USD）</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$121,500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$173,600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$225,600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無方向性曝險部位佔比</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雙幣理財（方向性曝險）合計佔比</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T+0 流動性緩衝佔比</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r>
    </w:tbl>
    <w:p>
      <w:pPr>
        <w:spacing w:after="160"/>
      </w:pPr>
    </w:p>
    <w:p>
      <w:pPr>
        <w:pStyle w:val="Heading2"/>
        <w:spacing w:after="140" w:before="300"/>
      </w:pPr>
      <w:r>
        <w:rPr>
          <w:rFonts w:ascii="Microsoft JhengHei" w:cs="Microsoft JhengHei" w:eastAsia="Microsoft JhengHei" w:hAnsi="Microsoft JhengHei"/>
          <w:b/>
          <w:bCs/>
          <w:color w:val="1F3864"/>
          <w:sz w:val="25"/>
          <w:szCs w:val="25"/>
        </w:rPr>
        <w:t xml:space="preserve">11. 內控架構、資安規範與風控防護</w:t>
      </w:r>
    </w:p>
    <w:p>
      <w:pPr>
        <w:pStyle w:val="Heading3"/>
        <w:spacing w:after="120" w:before="220"/>
      </w:pPr>
      <w:r>
        <w:rPr>
          <w:rFonts w:ascii="Microsoft JhengHei" w:cs="Microsoft JhengHei" w:eastAsia="Microsoft JhengHei" w:hAnsi="Microsoft JhengHei"/>
          <w:b/>
          <w:bCs/>
          <w:color w:val="2E5395"/>
          <w:sz w:val="22"/>
          <w:szCs w:val="22"/>
        </w:rPr>
        <w:t xml:space="preserve">11.1 API 最小授權架構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防禦層</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具體措施</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權限範圍</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API 金鑰僅開放「出借（Margin Funding）」與「理財申購（Earn Subscription）」權限，</w:t>
            </w:r>
            <w:r>
              <w:rPr>
                <w:rFonts w:ascii="Microsoft JhengHei" w:cs="Microsoft JhengHei" w:eastAsia="Microsoft JhengHei" w:hAnsi="Microsoft JhengHei"/>
                <w:b/>
                <w:bCs/>
                <w:sz w:val="18"/>
                <w:szCs w:val="18"/>
              </w:rPr>
              <w:t xml:space="preserve">物理性封閉提幣（Withdrawal）與轉帳（Transfer）功能</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網路存取控制</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固定 IP 白名單綁定，僅允許自公司內部 VPC 固定出口 IP 存取</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金鑰保管</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採企業 KMS（Key Management Service）加密保管，產生、保管、使用三權分立，並定期執行金鑰輪替</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稽核留痕</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所有 API 呼叫紀錄完整留存，供內部稽核與外部財務審計覆核</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11.2 集中度與緩衝門檻管理</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單一平台集中度上限：</w:t>
      </w:r>
      <w:r>
        <w:rPr>
          <w:rFonts w:ascii="Microsoft JhengHei" w:cs="Microsoft JhengHei" w:eastAsia="Microsoft JhengHei" w:hAnsi="Microsoft JhengHei"/>
          <w:sz w:val="21"/>
          <w:szCs w:val="21"/>
        </w:rPr>
        <w:t xml:space="preserve"> 各平台（Bitfinex / OKX / Binance）之總曝險分別不超過資產管理部可運用資金之特定核定比例，由風控委員會依平台信用評等分級核定。</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雙幣理財價外緩衝門檻：</w:t>
      </w:r>
      <w:r>
        <w:rPr>
          <w:rFonts w:ascii="Microsoft JhengHei" w:cs="Microsoft JhengHei" w:eastAsia="Microsoft JhengHei" w:hAnsi="Microsoft JhengHei"/>
          <w:sz w:val="21"/>
          <w:szCs w:val="21"/>
        </w:rPr>
        <w:t xml:space="preserve"> 雙幣理財掛單之行使價距離（Strike Distance）</w:t>
      </w:r>
      <w:r>
        <w:rPr>
          <w:rFonts w:ascii="Microsoft JhengHei" w:cs="Microsoft JhengHei" w:eastAsia="Microsoft JhengHei" w:hAnsi="Microsoft JhengHei"/>
          <w:b/>
          <w:bCs/>
          <w:sz w:val="21"/>
          <w:szCs w:val="21"/>
        </w:rPr>
        <w:t xml:space="preserve">建議限制於價外（OTM）8% 以上</w:t>
      </w:r>
      <w:r>
        <w:rPr>
          <w:rFonts w:ascii="Microsoft JhengHei" w:cs="Microsoft JhengHei" w:eastAsia="Microsoft JhengHei" w:hAnsi="Microsoft JhengHei"/>
          <w:sz w:val="21"/>
          <w:szCs w:val="21"/>
        </w:rPr>
        <w:t xml:space="preserve">，以降低觸價轉換機率，並將此門檻納入交易員操作 SOP 之強制檢核項目。</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緊急撤單召回 SOP（Kill-Switch）：</w:t>
      </w:r>
      <w:r>
        <w:rPr>
          <w:rFonts w:ascii="Microsoft JhengHei" w:cs="Microsoft JhengHei" w:eastAsia="Microsoft JhengHei" w:hAnsi="Microsoft JhengHei"/>
          <w:sz w:val="21"/>
          <w:szCs w:val="21"/>
        </w:rPr>
        <w:t xml:space="preserve"> 建立平台異常事件（出金延遲、API 異常、市場單日劇烈波動超過預設閾值）之自動預警機制，觸發後立即停止新單掛出，並依 SOP 啟動既有部位之緊急處置流程。</w:t>
      </w:r>
    </w:p>
    <w:p>
      <w:pPr>
        <w:pStyle w:val="Heading2"/>
        <w:spacing w:after="140" w:before="300"/>
      </w:pPr>
      <w:r>
        <w:rPr>
          <w:rFonts w:ascii="Microsoft JhengHei" w:cs="Microsoft JhengHei" w:eastAsia="Microsoft JhengHei" w:hAnsi="Microsoft JhengHei"/>
          <w:b/>
          <w:bCs/>
          <w:color w:val="1F3864"/>
          <w:sz w:val="25"/>
          <w:szCs w:val="25"/>
        </w:rPr>
        <w:t xml:space="preserve">12. 推進時程與沙盒試點計畫（Implementation Roadmap）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階段</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預計時程</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Phase 1：會簽授權與 API 設定</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財務部、風控委員會、法遵室完成本報告會簽；完成五項標的之 API 最小權限設定與資安部門覆核；制定緊急撤單 SOP 與雙幣理財 OTM 緩衝門檻規範</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核准後 2–4 週</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Phase 2：小規模沙盒試點</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依核定額度啟動五項工具之小額試點，實測對帳流程與各標的實際收益率、流動性召回時效</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2–3 個月</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Phase 3：常態化配置與自動化微服務部署</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 Phase 2 實測數據，依核定之配置模型（模型 A / B / C 或財務部客製化權重）分配常態化額度，並將驗證完成之流程遷移為內部自研 API 微服務，部署於內部 VPC</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Phase 2 結束後 1 個月內啟動評估</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12.1 治理與覆核機制</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月度覆核：</w:t>
      </w:r>
      <w:r>
        <w:rPr>
          <w:rFonts w:ascii="Microsoft JhengHei" w:cs="Microsoft JhengHei" w:eastAsia="Microsoft JhengHei" w:hAnsi="Microsoft JhengHei"/>
          <w:sz w:val="21"/>
          <w:szCs w:val="21"/>
        </w:rPr>
        <w:t xml:space="preserve"> 財務部與資產管理部聯合覆核當月出入金、各標的實際收益率與曝險集中度。</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季度風控報告：</w:t>
      </w:r>
      <w:r>
        <w:rPr>
          <w:rFonts w:ascii="Microsoft JhengHei" w:cs="Microsoft JhengHei" w:eastAsia="Microsoft JhengHei" w:hAnsi="Microsoft JhengHei"/>
          <w:sz w:val="21"/>
          <w:szCs w:val="21"/>
        </w:rPr>
        <w:t xml:space="preserve"> 提交風控委員會，內容涵蓋單一平台曝險比率、雙幣理財觸價事件統計、實際綜合加權年化與目標值落差分析。</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異常事件即時通報：</w:t>
      </w:r>
      <w:r>
        <w:rPr>
          <w:rFonts w:ascii="Microsoft JhengHei" w:cs="Microsoft JhengHei" w:eastAsia="Microsoft JhengHei" w:hAnsi="Microsoft JhengHei"/>
          <w:sz w:val="21"/>
          <w:szCs w:val="21"/>
        </w:rPr>
        <w:t xml:space="preserve"> 平台異常出金延遲、API 異常呼叫、USDT 脫錨事件、雙幣理財觸價事件、或同業擠兌/穿倉事件，須於 24 小時內通報風控主管與財務長。</w:t>
      </w:r>
    </w:p>
    <w:p>
      <w:pPr>
        <w:pStyle w:val="Heading2"/>
        <w:spacing w:after="140" w:before="300"/>
      </w:pPr>
      <w:r>
        <w:rPr>
          <w:rFonts w:ascii="Microsoft JhengHei" w:cs="Microsoft JhengHei" w:eastAsia="Microsoft JhengHei" w:hAnsi="Microsoft JhengHei"/>
          <w:b/>
          <w:bCs/>
          <w:color w:val="1F3864"/>
          <w:sz w:val="25"/>
          <w:szCs w:val="25"/>
        </w:rPr>
        <w:t xml:space="preserve">13. 資料來源與檢索時間（Sources &amp; Retrieval Date）</w:t>
      </w:r>
    </w:p>
    <w:p>
      <w:pPr>
        <w:spacing w:after="160" w:line="300"/>
      </w:pPr>
      <w:r>
        <w:rPr>
          <w:rFonts w:ascii="Microsoft JhengHei" w:cs="Microsoft JhengHei" w:eastAsia="Microsoft JhengHei" w:hAnsi="Microsoft JhengHei"/>
          <w:sz w:val="21"/>
          <w:szCs w:val="21"/>
        </w:rPr>
        <w:t xml:space="preserve">以下為本報告市場數據所引用之公開資料來源，檢索時間均為 2026 年 9 月：</w:t>
      </w:r>
    </w:p>
    <w:p>
      <w:pPr>
        <w:spacing w:after="160" w:line="300"/>
      </w:pPr>
      <w:r>
        <w:rPr>
          <w:rFonts w:ascii="Microsoft JhengHei" w:cs="Microsoft JhengHei" w:eastAsia="Microsoft JhengHei" w:hAnsi="Microsoft JhengHei"/>
          <w:sz w:val="21"/>
          <w:szCs w:val="21"/>
        </w:rPr>
        <w:t xml:space="preserve">- [Bitfinex Lending Rates: Live USD/USDT/BTC FRR &amp; 24h History · EarnUSD](https://earn-usd.com/rates)</w:t>
      </w:r>
    </w:p>
    <w:p>
      <w:pPr>
        <w:spacing w:after="160" w:line="300"/>
      </w:pPr>
      <w:r>
        <w:rPr>
          <w:rFonts w:ascii="Microsoft JhengHei" w:cs="Microsoft JhengHei" w:eastAsia="Microsoft JhengHei" w:hAnsi="Microsoft JhengHei"/>
          <w:sz w:val="21"/>
          <w:szCs w:val="21"/>
        </w:rPr>
        <w:t xml:space="preserve">- [What is the Bitfinex Funding Flash Return Rate – Bitfinex Help Center](https://support.bitfinex.com/hc/en-us/articles/213919009-What-is-the-Bitfinex-Funding-Flash-Return-Rate)</w:t>
      </w:r>
    </w:p>
    <w:p>
      <w:pPr>
        <w:spacing w:after="160" w:line="300"/>
      </w:pPr>
      <w:r>
        <w:rPr>
          <w:rFonts w:ascii="Microsoft JhengHei" w:cs="Microsoft JhengHei" w:eastAsia="Microsoft JhengHei" w:hAnsi="Microsoft JhengHei"/>
          <w:sz w:val="21"/>
          <w:szCs w:val="21"/>
        </w:rPr>
        <w:t xml:space="preserve">- [What fees does Bitfinex charge – Bitfinex Help Center](https://support.bitfinex.com/hc/en-us/articles/213919589-What-fees-does-Bitfinex-charge)</w:t>
      </w:r>
    </w:p>
    <w:p>
      <w:pPr>
        <w:spacing w:after="160" w:line="300"/>
      </w:pPr>
      <w:r>
        <w:rPr>
          <w:rFonts w:ascii="Microsoft JhengHei" w:cs="Microsoft JhengHei" w:eastAsia="Microsoft JhengHei" w:hAnsi="Microsoft JhengHei"/>
          <w:sz w:val="21"/>
          <w:szCs w:val="21"/>
        </w:rPr>
        <w:t xml:space="preserve">- [How are the Funding interest earnings and fees calculated at Bitfinex – Bitfinex Help Center](https://support.bitfinex.com/hc/en-us/articles/360024039494-What-do-I-get-when-I-offer-Margin-Funding-)</w:t>
      </w:r>
    </w:p>
    <w:p>
      <w:pPr>
        <w:spacing w:after="160" w:line="300"/>
      </w:pPr>
      <w:r>
        <w:rPr>
          <w:rFonts w:ascii="Microsoft JhengHei" w:cs="Microsoft JhengHei" w:eastAsia="Microsoft JhengHei" w:hAnsi="Microsoft JhengHei"/>
          <w:sz w:val="21"/>
          <w:szCs w:val="21"/>
        </w:rPr>
        <w:t xml:space="preserve">- [Simple Earn Flexible FAQ | OKX](https://www.okx.com/en-ar/help/simple-earn-faq)</w:t>
      </w:r>
    </w:p>
    <w:p>
      <w:pPr>
        <w:spacing w:after="160" w:line="300"/>
      </w:pPr>
      <w:r>
        <w:rPr>
          <w:rFonts w:ascii="Microsoft JhengHei" w:cs="Microsoft JhengHei" w:eastAsia="Microsoft JhengHei" w:hAnsi="Microsoft JhengHei"/>
          <w:sz w:val="21"/>
          <w:szCs w:val="21"/>
        </w:rPr>
        <w:t xml:space="preserve">- [Introduction to OKX Simple Earn Flexible and Its Rules | OKX United States](https://www.okx.com/en-us/help/introduction-to-okx-simple-earn-flexible)</w:t>
      </w:r>
    </w:p>
    <w:p>
      <w:pPr>
        <w:spacing w:after="160" w:line="300"/>
      </w:pPr>
      <w:r>
        <w:rPr>
          <w:rFonts w:ascii="Microsoft JhengHei" w:cs="Microsoft JhengHei" w:eastAsia="Microsoft JhengHei" w:hAnsi="Microsoft JhengHei"/>
          <w:sz w:val="21"/>
          <w:szCs w:val="21"/>
        </w:rPr>
        <w:t xml:space="preserve">- [Our 45th Consecutive Proof of Reserves | OKX United States](https://www.okx.com/en-us/learn/por-45)</w:t>
      </w:r>
    </w:p>
    <w:p>
      <w:pPr>
        <w:spacing w:after="160" w:line="300"/>
      </w:pPr>
      <w:r>
        <w:rPr>
          <w:rFonts w:ascii="Microsoft JhengHei" w:cs="Microsoft JhengHei" w:eastAsia="Microsoft JhengHei" w:hAnsi="Microsoft JhengHei"/>
          <w:sz w:val="21"/>
          <w:szCs w:val="21"/>
        </w:rPr>
        <w:t xml:space="preserve">- [A quick guide to trading crypto pairs with OKX Dual Investment | OKX United States](https://www.okx.com/en-us/learn/a-quick-guide-to-trading-crypto-pairs-with-okx-dual-investment)</w:t>
      </w:r>
    </w:p>
    <w:p>
      <w:pPr>
        <w:spacing w:after="160" w:line="300"/>
      </w:pPr>
      <w:r>
        <w:rPr>
          <w:rFonts w:ascii="Microsoft JhengHei" w:cs="Microsoft JhengHei" w:eastAsia="Microsoft JhengHei" w:hAnsi="Microsoft JhengHei"/>
          <w:sz w:val="21"/>
          <w:szCs w:val="21"/>
        </w:rPr>
        <w:t xml:space="preserve">- [OKX to update the settlement price calculation rule for Dual Investment | OKX United States](https://www.okx.com/en-us/help/okx-to-update-the-settlement-price-for-dual-investment)</w:t>
      </w:r>
    </w:p>
    <w:p>
      <w:pPr>
        <w:spacing w:after="160" w:line="300"/>
      </w:pPr>
      <w:r>
        <w:rPr>
          <w:rFonts w:ascii="Microsoft JhengHei" w:cs="Microsoft JhengHei" w:eastAsia="Microsoft JhengHei" w:hAnsi="Microsoft JhengHei"/>
          <w:sz w:val="21"/>
          <w:szCs w:val="21"/>
        </w:rPr>
        <w:t xml:space="preserve">- [Enjoy Up to 6% APR with USDT Flexible Products | Binance](https://www.binance.com/en/support/announcement/detail/7c272e07830b47fa9378827c5b15de81)</w:t>
      </w:r>
    </w:p>
    <w:p>
      <w:pPr>
        <w:spacing w:after="160" w:line="300"/>
      </w:pPr>
      <w:r>
        <w:rPr>
          <w:rFonts w:ascii="Microsoft JhengHei" w:cs="Microsoft JhengHei" w:eastAsia="Microsoft JhengHei" w:hAnsi="Microsoft JhengHei"/>
          <w:sz w:val="21"/>
          <w:szCs w:val="21"/>
        </w:rPr>
        <w:t xml:space="preserve">- [Earn up to 6% APR with USDT products featuring flexible | Binance](https://www.binance.com/en/square/post/330412082187042)</w:t>
      </w:r>
    </w:p>
    <w:p>
      <w:pPr>
        <w:spacing w:after="160" w:line="300"/>
      </w:pPr>
      <w:r>
        <w:rPr>
          <w:rFonts w:ascii="Microsoft JhengHei" w:cs="Microsoft JhengHei" w:eastAsia="Microsoft JhengHei" w:hAnsi="Microsoft JhengHei"/>
          <w:sz w:val="21"/>
          <w:szCs w:val="21"/>
        </w:rPr>
        <w:t xml:space="preserve">- [Binance Reworks SAFU Reserves, Shifting $1B From Stablecoins to Bitcoin | Finance Magnates](https://www.financemagnates.com/cryptocurrency/binance-reworks-safu-reserves-shifting-1b-from-stablecoins-to-bitcoin/)</w:t>
      </w:r>
    </w:p>
    <w:p>
      <w:pPr>
        <w:spacing w:after="160" w:line="300"/>
      </w:pPr>
      <w:r>
        <w:rPr>
          <w:rFonts w:ascii="Microsoft JhengHei" w:cs="Microsoft JhengHei" w:eastAsia="Microsoft JhengHei" w:hAnsi="Microsoft JhengHei"/>
          <w:sz w:val="21"/>
          <w:szCs w:val="21"/>
        </w:rPr>
        <w:t xml:space="preserve">- [Binance to convert about $1B SAFU stablecoin reserves into Bitcoin BTC within 30 days, with $162.8B Proof of Reserves | Blockchain News](https://blockchain.news/flashnews/binance-to-convert-about-1b-safu-stablecoin-reserves-into-bitcoin-btc-within-30-days-with-162-8b-proof-of-reserves-and-listings-across-eth-bsc-sol)</w:t>
      </w:r>
    </w:p>
    <w:p>
      <w:pPr>
        <w:spacing w:after="160" w:line="300"/>
      </w:pPr>
      <w:r>
        <w:rPr>
          <w:rFonts w:ascii="Microsoft JhengHei" w:cs="Microsoft JhengHei" w:eastAsia="Microsoft JhengHei" w:hAnsi="Microsoft JhengHei"/>
          <w:sz w:val="21"/>
          <w:szCs w:val="21"/>
        </w:rPr>
        <w:t xml:space="preserve">- [Binance Dual Investment — NEW: Auto-Compound Feature | Medium](https://medium.com/@rowneth/binance-dual-investment-new-dual-investment-auto-compound-feature-96c2bcc44ff8)</w:t>
      </w:r>
    </w:p>
    <w:p>
      <w:pPr>
        <w:spacing w:after="160" w:line="300"/>
      </w:pPr>
      <w:r>
        <w:rPr>
          <w:rFonts w:ascii="Microsoft JhengHei" w:cs="Microsoft JhengHei" w:eastAsia="Microsoft JhengHei" w:hAnsi="Microsoft JhengHei"/>
          <w:sz w:val="21"/>
          <w:szCs w:val="21"/>
        </w:rPr>
        <w:t xml:space="preserve">- [Binance Launches Dual Investment Auto-Compound Feature &amp; New Dual Investment Products | Binance Support](https://www.binance.com/en-BH/support/announcement/binance-launches-dual-investment-auto-compound-feature-new-dual-investment-products-255df2d04d9348bea0405819be90ba82)</w:t>
      </w:r>
    </w:p>
    <w:p>
      <w:pPr>
        <w:spacing w:after="160" w:line="300"/>
      </w:pPr>
      <w:r>
        <w:rPr>
          <w:rFonts w:ascii="Microsoft JhengHei" w:cs="Microsoft JhengHei" w:eastAsia="Microsoft JhengHei" w:hAnsi="Microsoft JhengHei"/>
          <w:sz w:val="21"/>
          <w:szCs w:val="21"/>
        </w:rPr>
        <w:t xml:space="preserve">- [SOFR Rate Today | sofrrate.com](https://www.sofrrate.com/)</w:t>
      </w:r>
    </w:p>
    <w:p>
      <w:pPr>
        <w:spacing w:after="160" w:line="300"/>
      </w:pPr>
      <w:r>
        <w:rPr>
          <w:rFonts w:ascii="Microsoft JhengHei" w:cs="Microsoft JhengHei" w:eastAsia="Microsoft JhengHei" w:hAnsi="Microsoft JhengHei"/>
          <w:sz w:val="21"/>
          <w:szCs w:val="21"/>
        </w:rPr>
        <w:t xml:space="preserve">- [Secured Overnight Financing Rate (SOFR) | FRED, St. Louis Fed](https://fred.stlouisfed.org/series/SOFR)</w:t>
      </w:r>
    </w:p>
    <w:p>
      <w:pPr>
        <w:spacing w:after="100" w:before="200"/>
      </w:pPr>
      <w:r>
        <w:rPr>
          <w:rFonts w:ascii="Microsoft JhengHei" w:cs="Microsoft JhengHei" w:eastAsia="Microsoft JhengHei" w:hAnsi="Microsoft JhengHei"/>
          <w:i/>
          <w:iCs/>
          <w:color w:val="595959"/>
          <w:sz w:val="18"/>
          <w:szCs w:val="18"/>
        </w:rPr>
        <w:t xml:space="preserve">本報告由 TSGEX 資產管理部撰擬，僅供公司內部財務部、風控委員會、法遵室與高階管理層審查之用，不對外流通。文件所載之利率結構、情境試算與示意性機率權重均基於上列公開市場資料整理與方法論估算，不構成收益保證或市場預測，實際執行結果仍受市場條件變動影響，各項即時利率請以平台當下公告為準。</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8497B0"/>
        <w:sz w:val="16"/>
        <w:szCs w:val="16"/>
      </w:rPr>
      <w:t xml:space="preserve">第 </w:t>
    </w:r>
    <w:r>
      <w:rPr>
        <w:rFonts w:ascii="Microsoft JhengHei" w:cs="Microsoft JhengHei" w:eastAsia="Microsoft JhengHei" w:hAnsi="Microsoft JhengHei"/>
        <w:color w:val="8497B0"/>
        <w:sz w:val="16"/>
        <w:szCs w:val="16"/>
      </w:rPr>
      <w:fldChar w:fldCharType="begin"/>
      <w:instrText xml:space="preserve">PAGE</w:instrText>
      <w:fldChar w:fldCharType="separate"/>
      <w:fldChar w:fldCharType="end"/>
    </w:r>
    <w:r>
      <w:rPr>
        <w:rFonts w:ascii="Microsoft JhengHei" w:cs="Microsoft JhengHei" w:eastAsia="Microsoft JhengHei" w:hAnsi="Microsoft JhengHei"/>
        <w:color w:val="8497B0"/>
        <w:sz w:val="16"/>
        <w:szCs w:val="16"/>
      </w:rPr>
      <w:t xml:space="preserve"> 頁，共 </w:t>
    </w:r>
    <w:r>
      <w:rPr>
        <w:rFonts w:ascii="Microsoft JhengHei" w:cs="Microsoft JhengHei" w:eastAsia="Microsoft JhengHei" w:hAnsi="Microsoft JhengHei"/>
        <w:color w:val="8497B0"/>
        <w:sz w:val="16"/>
        <w:szCs w:val="16"/>
      </w:rPr>
      <w:fldChar w:fldCharType="begin"/>
      <w:instrText xml:space="preserve">NUMPAGES</w:instrText>
      <w:fldChar w:fldCharType="separate"/>
      <w:fldChar w:fldCharType="end"/>
    </w:r>
    <w:r>
      <w:rPr>
        <w:rFonts w:ascii="Microsoft JhengHei" w:cs="Microsoft JhengHei" w:eastAsia="Microsoft JhengHei" w:hAnsi="Microsoft JhengHei"/>
        <w:color w:val="8497B0"/>
        <w:sz w:val="16"/>
        <w:szCs w:val="16"/>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JhengHei" w:cs="Microsoft JhengHei" w:eastAsia="Microsoft JhengHei" w:hAnsi="Microsoft JhengHei"/>
        <w:color w:val="8497B0"/>
        <w:sz w:val="16"/>
        <w:szCs w:val="16"/>
      </w:rPr>
      <w:t xml:space="preserve">TSGEX 資產管理部｜內部機密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2026-09-04T09:06:27.935Z</dcterms:created>
  <dcterms:modified xsi:type="dcterms:W3CDTF">2026-09-04T09:06:27.952Z</dcterms:modified>
</cp:coreProperties>
</file>

<file path=docProps/custom.xml><?xml version="1.0" encoding="utf-8"?>
<Properties xmlns="http://schemas.openxmlformats.org/officeDocument/2006/custom-properties" xmlns:vt="http://schemas.openxmlformats.org/officeDocument/2006/docPropsVTypes"/>
</file>