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Microsoft JhengHei" w:cs="Microsoft JhengHei" w:eastAsia="Microsoft JhengHei" w:hAnsi="Microsoft JhengHei"/>
          <w:b/>
          <w:bCs/>
          <w:color w:val="1F3864"/>
          <w:sz w:val="32"/>
          <w:szCs w:val="32"/>
        </w:rPr>
        <w:t xml:space="preserve">TSGEX 資產管理部</w:t>
      </w:r>
    </w:p>
    <w:p>
      <w:pPr>
        <w:spacing w:after="100"/>
        <w:jc w:val="center"/>
      </w:pPr>
      <w:r>
        <w:rPr>
          <w:rFonts w:ascii="Microsoft JhengHei" w:cs="Microsoft JhengHei" w:eastAsia="Microsoft JhengHei" w:hAnsi="Microsoft JhengHei"/>
          <w:b/>
          <w:bCs/>
          <w:color w:val="1F3864"/>
          <w:sz w:val="34"/>
          <w:szCs w:val="34"/>
        </w:rPr>
        <w:t xml:space="preserve">自有流動資金收益優化可行性評估報告</w:t>
      </w:r>
    </w:p>
    <w:p>
      <w:pPr>
        <w:spacing w:after="500"/>
        <w:jc w:val="center"/>
      </w:pPr>
      <w:r>
        <w:rPr>
          <w:rFonts w:ascii="Microsoft JhengHei" w:cs="Microsoft JhengHei" w:eastAsia="Microsoft JhengHei" w:hAnsi="Microsoft JhengHei"/>
          <w:b/>
          <w:bCs/>
          <w:color w:val="44546A"/>
          <w:sz w:val="26"/>
          <w:szCs w:val="26"/>
        </w:rPr>
        <w:t xml:space="preserve">五大主流工具數據穿透、風險剖析與財務部資產配置決策矩陣</w:t>
      </w:r>
    </w:p>
    <w:p>
      <w:r>
        <w:br w:type="page"/>
      </w:r>
    </w:p>
    <w:p>
      <w:pPr>
        <w:pStyle w:val="Heading2"/>
        <w:spacing w:after="140" w:before="300"/>
      </w:pPr>
      <w:r>
        <w:rPr>
          <w:rFonts w:ascii="Microsoft JhengHei" w:cs="Microsoft JhengHei" w:eastAsia="Microsoft JhengHei" w:hAnsi="Microsoft JhengHei"/>
          <w:b/>
          <w:bCs/>
          <w:color w:val="1F3864"/>
          <w:sz w:val="25"/>
          <w:szCs w:val="25"/>
        </w:rPr>
        <w:t xml:space="preserve">1. 文件資訊與簽核矩陣（Document Control &amp;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項目</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內容</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文件名稱</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TSGEX 自有流動資金收益優化可行性評估報告（五大工具版）</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文件編號</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TSGEX-AM-2026-0904-R2</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機密等級</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內部機密（Internal Confidential）</w:t>
            </w:r>
            <w:r>
              <w:rPr>
                <w:rFonts w:ascii="Microsoft JhengHei" w:cs="Microsoft JhengHei" w:eastAsia="Microsoft JhengHei" w:hAnsi="Microsoft JhengHei"/>
                <w:sz w:val="18"/>
                <w:szCs w:val="18"/>
              </w:rPr>
              <w:t xml:space="preserve"> — 僅供內部審查，不對外流通</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提案單位</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TSGEX 資產管理部（Asset Management Department）</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文件版本</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V1.0（第一階段：Word 深度分析研究報告）</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報告日期</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2026-09-04（市場數據檢索日：2026 年 9 月）</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資金屬性</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100% 公司自有流動資金（Proprietary Equity Capital），落實獨立專戶隔離，不涉及任何用戶託管資產</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會簽矩陣（Sign-off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會簽單位</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審查重點</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簽核角色</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簽核狀態</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財務部（Treasury &amp; Finance Department）</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收益認列、帳務處理、資金調度、無風險利率基準校準</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主責審查</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待簽核</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風險管理委員會（Risk Committee）</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交易對手風險、市場風險、流動性風險、單一平台曝險上限</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風控核決</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待簽核</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法令遵循室（Compliance / 法遵室）</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VASP 監管適用性、跨境資金移動合規性、衍生性商品法遵疑慮</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法遵核決</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待簽核</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高階管理層 / 投資委員會（IC）</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策略定位、資本配置額度、最終核准</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最終核准</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待簽核</w:t>
            </w:r>
          </w:p>
        </w:tc>
      </w:tr>
    </w:tbl>
    <w:p>
      <w:pPr>
        <w:spacing w:after="160"/>
      </w:pPr>
    </w:p>
    <w:p>
      <w:pPr>
        <w:pStyle w:val="Heading2"/>
        <w:spacing w:after="140" w:before="300"/>
      </w:pPr>
      <w:r>
        <w:rPr>
          <w:rFonts w:ascii="Microsoft JhengHei" w:cs="Microsoft JhengHei" w:eastAsia="Microsoft JhengHei" w:hAnsi="Microsoft JhengHei"/>
          <w:b/>
          <w:bCs/>
          <w:color w:val="1F3864"/>
          <w:sz w:val="25"/>
          <w:szCs w:val="25"/>
        </w:rPr>
        <w:t xml:space="preserve">2. 執行摘要（Executive Summary）</w:t>
      </w:r>
    </w:p>
    <w:p>
      <w:pPr>
        <w:pStyle w:val="Heading3"/>
        <w:spacing w:after="120" w:before="220"/>
      </w:pPr>
      <w:r>
        <w:rPr>
          <w:rFonts w:ascii="Microsoft JhengHei" w:cs="Microsoft JhengHei" w:eastAsia="Microsoft JhengHei" w:hAnsi="Microsoft JhengHei"/>
          <w:b/>
          <w:bCs/>
          <w:color w:val="2E5395"/>
          <w:sz w:val="22"/>
          <w:szCs w:val="22"/>
        </w:rPr>
        <w:t xml:space="preserve">2.1 提案背景與研究方法</w:t>
      </w:r>
    </w:p>
    <w:p>
      <w:pPr>
        <w:spacing w:after="160" w:line="300"/>
      </w:pPr>
      <w:r>
        <w:rPr>
          <w:rFonts w:ascii="Microsoft JhengHei" w:cs="Microsoft JhengHei" w:eastAsia="Microsoft JhengHei" w:hAnsi="Microsoft JhengHei"/>
          <w:sz w:val="21"/>
          <w:szCs w:val="21"/>
        </w:rPr>
        <w:t xml:space="preserve">TSGEX 資產管理部就公司自有流動資金之收益優化議題，針對市場上五項主流工具進行</w:t>
      </w:r>
      <w:r>
        <w:rPr>
          <w:rFonts w:ascii="Microsoft JhengHei" w:cs="Microsoft JhengHei" w:eastAsia="Microsoft JhengHei" w:hAnsi="Microsoft JhengHei"/>
          <w:b/>
          <w:bCs/>
          <w:sz w:val="21"/>
          <w:szCs w:val="21"/>
        </w:rPr>
        <w:t xml:space="preserve">獨立、逐一之數據穿透分析</w:t>
      </w:r>
      <w:r>
        <w:rPr>
          <w:rFonts w:ascii="Microsoft JhengHei" w:cs="Microsoft JhengHei" w:eastAsia="Microsoft JhengHei" w:hAnsi="Microsoft JhengHei"/>
          <w:sz w:val="21"/>
          <w:szCs w:val="21"/>
        </w:rPr>
        <w:t xml:space="preserve">：Bitfinex USD 保證金融資出借、OKX 與 Binance 之 USDT 活期理財、以及 OKX 與 Binance 之雙幣理財。本報告之利率與機制數據均經</w:t>
      </w:r>
      <w:r>
        <w:rPr>
          <w:rFonts w:ascii="Microsoft JhengHei" w:cs="Microsoft JhengHei" w:eastAsia="Microsoft JhengHei" w:hAnsi="Microsoft JhengHei"/>
          <w:b/>
          <w:bCs/>
          <w:sz w:val="21"/>
          <w:szCs w:val="21"/>
        </w:rPr>
        <w:t xml:space="preserve">即時聯網檢索</w:t>
      </w:r>
      <w:r>
        <w:rPr>
          <w:rFonts w:ascii="Microsoft JhengHei" w:cs="Microsoft JhengHei" w:eastAsia="Microsoft JhengHei" w:hAnsi="Microsoft JhengHei"/>
          <w:sz w:val="21"/>
          <w:szCs w:val="21"/>
        </w:rPr>
        <w:t xml:space="preserve">取得（檢索時間：2026 年 9 月），並於文末「資料來源與檢索時間」章節完整列示引用來源，以確保財務部審查所依據之參數具備時效性與可驗證性。</w:t>
      </w:r>
    </w:p>
    <w:p>
      <w:pPr>
        <w:pStyle w:val="Heading3"/>
        <w:spacing w:after="120" w:before="220"/>
      </w:pPr>
      <w:r>
        <w:rPr>
          <w:rFonts w:ascii="Microsoft JhengHei" w:cs="Microsoft JhengHei" w:eastAsia="Microsoft JhengHei" w:hAnsi="Microsoft JhengHei"/>
          <w:b/>
          <w:bCs/>
          <w:color w:val="2E5395"/>
          <w:sz w:val="22"/>
          <w:szCs w:val="22"/>
        </w:rPr>
        <w:t xml:space="preserve">2.2 五大標的定位總覽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標的</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收益本質</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收益來源計算基礎</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Bitfinex USD Margin Funding</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出借利息（Interest Income）</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P2P 訂單簿撮合利率（FRR），扣除平台 15% 服務費</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OKX USDT 活期理財</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資金池借貸利差</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前 500 USDT 享 Bonus APR，超額部分依市場浮動利率計息，平台抽成 15%</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Binance USDT 活期理財</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資金池借貸利差</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Real-Time APR（即時浮動）+ 特定額度內之 Bonus Tiered APR</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OKX 雙幣贏（Dual Investment）</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選擇權權利金（Option Premium）</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依行使價與市場價之相對關係決定結算幣別，年化報酬即權利金之年化換算</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Binance 雙幣投資（Dual Investment）</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選擇權權利金（Option Premium）</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官方揭露年化區間約 4%–138%（部分商品歷史上曾達 175%），機制同上</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2.3 財務基準與研究揭露</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公司內部政策性財務基準（Hurdle Rate）：</w:t>
      </w:r>
      <w:r>
        <w:rPr>
          <w:rFonts w:ascii="Microsoft JhengHei" w:cs="Microsoft JhengHei" w:eastAsia="Microsoft JhengHei" w:hAnsi="Microsoft JhengHei"/>
          <w:sz w:val="21"/>
          <w:szCs w:val="21"/>
        </w:rPr>
        <w:t xml:space="preserve"> SOFR / 3M T-Bill ≈ 4.5% + 150–200 bps 流動性溢價（沿用既有內部政策設定）。</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即時市場數據校驗：</w:t>
      </w:r>
      <w:r>
        <w:rPr>
          <w:rFonts w:ascii="Microsoft JhengHei" w:cs="Microsoft JhengHei" w:eastAsia="Microsoft JhengHei" w:hAnsi="Microsoft JhengHei"/>
          <w:sz w:val="21"/>
          <w:szCs w:val="21"/>
        </w:rPr>
        <w:t xml:space="preserve"> 依紐約聯邦準備銀行公開資料，2026 年 9 月 1 日 SOFR 實際報價為 </w:t>
      </w:r>
      <w:r>
        <w:rPr>
          <w:rFonts w:ascii="Microsoft JhengHei" w:cs="Microsoft JhengHei" w:eastAsia="Microsoft JhengHei" w:hAnsi="Microsoft JhengHei"/>
          <w:b/>
          <w:bCs/>
          <w:sz w:val="21"/>
          <w:szCs w:val="21"/>
        </w:rPr>
        <w:t xml:space="preserve">3.66%</w:t>
      </w:r>
      <w:r>
        <w:rPr>
          <w:rFonts w:ascii="Microsoft JhengHei" w:cs="Microsoft JhengHei" w:eastAsia="Microsoft JhengHei" w:hAnsi="Microsoft JhengHei"/>
          <w:sz w:val="21"/>
          <w:szCs w:val="21"/>
        </w:rPr>
        <w:t xml:space="preserve">，較公司內部政策假設之 4.5% 為低；本報告於計算「超額利差（Alpha）」時，將</w:t>
      </w:r>
      <w:r>
        <w:rPr>
          <w:rFonts w:ascii="Microsoft JhengHei" w:cs="Microsoft JhengHei" w:eastAsia="Microsoft JhengHei" w:hAnsi="Microsoft JhengHei"/>
          <w:b/>
          <w:bCs/>
          <w:sz w:val="21"/>
          <w:szCs w:val="21"/>
        </w:rPr>
        <w:t xml:space="preserve">同時列示依政策基準與依即時市場基準之兩組數據</w:t>
      </w:r>
      <w:r>
        <w:rPr>
          <w:rFonts w:ascii="Microsoft JhengHei" w:cs="Microsoft JhengHei" w:eastAsia="Microsoft JhengHei" w:hAnsi="Microsoft JhengHei"/>
          <w:sz w:val="21"/>
          <w:szCs w:val="21"/>
        </w:rPr>
        <w:t xml:space="preserve">，供財務部審酌採用。</w:t>
      </w:r>
    </w:p>
    <w:p>
      <w:pPr>
        <w:pStyle w:val="Heading3"/>
        <w:spacing w:after="120" w:before="220"/>
      </w:pPr>
      <w:r>
        <w:rPr>
          <w:rFonts w:ascii="Microsoft JhengHei" w:cs="Microsoft JhengHei" w:eastAsia="Microsoft JhengHei" w:hAnsi="Microsoft JhengHei"/>
          <w:b/>
          <w:bCs/>
          <w:color w:val="2E5395"/>
          <w:sz w:val="22"/>
          <w:szCs w:val="22"/>
        </w:rPr>
        <w:t xml:space="preserve">2.4 報告結構</w:t>
      </w:r>
    </w:p>
    <w:p>
      <w:pPr>
        <w:spacing w:after="160" w:line="300"/>
      </w:pPr>
      <w:r>
        <w:rPr>
          <w:rFonts w:ascii="Microsoft JhengHei" w:cs="Microsoft JhengHei" w:eastAsia="Microsoft JhengHei" w:hAnsi="Microsoft JhengHei"/>
          <w:sz w:val="21"/>
          <w:szCs w:val="21"/>
        </w:rPr>
        <w:t xml:space="preserve">本報告依序對五項標的進行獨立深度剖析（第 3–7 章），再彙整跨標的之會計處理對比（第 8 章）、綜合決策矩陣（第 9 章）、三種全配置資產配置模擬模型（第 10 章），最後說明內控資安架構（第 11 章）與推進時程（第 12 章）。</w:t>
      </w:r>
      <w:r>
        <w:rPr>
          <w:rFonts w:ascii="Microsoft JhengHei" w:cs="Microsoft JhengHei" w:eastAsia="Microsoft JhengHei" w:hAnsi="Microsoft JhengHei"/>
          <w:b/>
          <w:bCs/>
          <w:sz w:val="21"/>
          <w:szCs w:val="21"/>
        </w:rPr>
        <w:t xml:space="preserve">本報告以呈現各標的之真實金融工程機制、數據試算與風險因子為唯一目的，最終配置決策保留予財務部與投資委員會依風險偏好自行判斷。</w:t>
      </w:r>
    </w:p>
    <w:p>
      <w:pPr>
        <w:pStyle w:val="Heading2"/>
        <w:spacing w:after="140" w:before="300"/>
      </w:pPr>
      <w:r>
        <w:rPr>
          <w:rFonts w:ascii="Microsoft JhengHei" w:cs="Microsoft JhengHei" w:eastAsia="Microsoft JhengHei" w:hAnsi="Microsoft JhengHei"/>
          <w:b/>
          <w:bCs/>
          <w:color w:val="1F3864"/>
          <w:sz w:val="25"/>
          <w:szCs w:val="25"/>
        </w:rPr>
        <w:t xml:space="preserve">3. Bitfinex USD Margin Funding 深度剖析</w:t>
      </w:r>
    </w:p>
    <w:p>
      <w:pPr>
        <w:pStyle w:val="Heading3"/>
        <w:spacing w:after="120" w:before="220"/>
      </w:pPr>
      <w:r>
        <w:rPr>
          <w:rFonts w:ascii="Microsoft JhengHei" w:cs="Microsoft JhengHei" w:eastAsia="Microsoft JhengHei" w:hAnsi="Microsoft JhengHei"/>
          <w:b/>
          <w:bCs/>
          <w:color w:val="2E5395"/>
          <w:sz w:val="22"/>
          <w:szCs w:val="22"/>
        </w:rPr>
        <w:t xml:space="preserve">3.1 平台與撮合機制</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項目</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內容</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P2P 訂單簿撮合原理</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出借人於 Funding Book 掛出「金額、利率、天期」，系統依價格優先、時間優先原則自動撮合；借款人則依市場利率動用融資額度</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借款人超額抵押率</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原始保證金率約為部位名目價值之 15%–33%（最高槓桿約 3–6.6 倍）</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維持保證金與清算引擎</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當部位保證金比率跌破維持保證金率（約 15% 上下）時，系統自動觸發強制減倉／平倉，優先以借款人擔保品償付未平倉融資本息</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出借人優先受償權</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出借人對借款人擔保品之求償順位優先於借款人自身權益；只要強平引擎於保證金比率歸零前完成減倉，出借人本金即不受影響</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3.2 幣別屬性：為何選擇 USD 法幣</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零幣價波動（Delta-Neutral）：</w:t>
      </w:r>
      <w:r>
        <w:rPr>
          <w:rFonts w:ascii="Microsoft JhengHei" w:cs="Microsoft JhengHei" w:eastAsia="Microsoft JhengHei" w:hAnsi="Microsoft JhengHei"/>
          <w:sz w:val="21"/>
          <w:szCs w:val="21"/>
        </w:rPr>
        <w:t xml:space="preserve"> 本金與計價貨幣皆為美元法幣，不存在標的資產跌價導致本金減損之風險。</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無穩定幣脫錨疑慮：</w:t>
      </w:r>
      <w:r>
        <w:rPr>
          <w:rFonts w:ascii="Microsoft JhengHei" w:cs="Microsoft JhengHei" w:eastAsia="Microsoft JhengHei" w:hAnsi="Microsoft JhengHei"/>
          <w:sz w:val="21"/>
          <w:szCs w:val="21"/>
        </w:rPr>
        <w:t xml:space="preserve"> 完全規避 USDT/USDC 等穩定幣發行商儲備金與二級市場脫錨風險。</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會計認列單純：</w:t>
      </w:r>
      <w:r>
        <w:rPr>
          <w:rFonts w:ascii="Microsoft JhengHei" w:cs="Microsoft JhengHei" w:eastAsia="Microsoft JhengHei" w:hAnsi="Microsoft JhengHei"/>
          <w:sz w:val="21"/>
          <w:szCs w:val="21"/>
        </w:rPr>
        <w:t xml:space="preserve"> 可直接列示為現金及約當現金或短期金融資產，符合 GAAP/IFRS 認列規範，無需進行虛擬資產公允價值評價。</w:t>
      </w:r>
    </w:p>
    <w:p>
      <w:pPr>
        <w:pStyle w:val="Heading3"/>
        <w:spacing w:after="120" w:before="220"/>
      </w:pPr>
      <w:r>
        <w:rPr>
          <w:rFonts w:ascii="Microsoft JhengHei" w:cs="Microsoft JhengHei" w:eastAsia="Microsoft JhengHei" w:hAnsi="Microsoft JhengHei"/>
          <w:b/>
          <w:bCs/>
          <w:color w:val="2E5395"/>
          <w:sz w:val="22"/>
          <w:szCs w:val="22"/>
        </w:rPr>
        <w:t xml:space="preserve">3.3 利差階梯掛單授權（Rate-Driven Tenor Laddering）</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提前還款權（借款人）：</w:t>
      </w:r>
      <w:r>
        <w:rPr>
          <w:rFonts w:ascii="Microsoft JhengHei" w:cs="Microsoft JhengHei" w:eastAsia="Microsoft JhengHei" w:hAnsi="Microsoft JhengHei"/>
          <w:sz w:val="21"/>
          <w:szCs w:val="21"/>
        </w:rPr>
        <w:t xml:space="preserve"> 借款人得於天期屆滿前提前償還融資，出借人仍可取得已實際借用天數之應計利息，本金不受影響。</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再投資風險（出借人）：</w:t>
      </w:r>
      <w:r>
        <w:rPr>
          <w:rFonts w:ascii="Microsoft JhengHei" w:cs="Microsoft JhengHei" w:eastAsia="Microsoft JhengHei" w:hAnsi="Microsoft JhengHei"/>
          <w:sz w:val="21"/>
          <w:szCs w:val="21"/>
        </w:rPr>
        <w:t xml:space="preserve"> 資金到期回流後若市場利率已下降，出借人須以較低利率再投資；此風險透過動態天期階梯與分批出借機制加以緩釋。</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階梯配置矩陣：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市場利率區間（APR）</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授權天期</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操作邏輯</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常態市場（APR &lt; 15%）</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2–7 天短天期</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維持高頻資金輪動，保留每週流動性釋出彈性</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高息溢價期（APR ≥ 15%）</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開放至 15–30 天</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鎖定借款人短期高成本融資窗口，捕捉超額利潤</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極端波動期（APR ≥ 30%+）</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交易員專案彈性授權，最長 60–120 天</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於極端行情鎖定超高利率窗口，須經風控主管專案簽核</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3.4 即時市場數據（檢索日：2026 年 9 月）</w:t>
      </w:r>
    </w:p>
    <w:p>
      <w:pPr>
        <w:spacing w:after="160" w:line="300"/>
      </w:pPr>
      <w:r>
        <w:rPr>
          <w:rFonts w:ascii="Microsoft JhengHei" w:cs="Microsoft JhengHei" w:eastAsia="Microsoft JhengHei" w:hAnsi="Microsoft JhengHei"/>
          <w:sz w:val="21"/>
          <w:szCs w:val="21"/>
        </w:rPr>
        <w:t xml:space="preserve">依 Bitfinex 官方說明與第三方即時利率追蹤服務（EarnUSD）：</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近期 USD 出借日均利率（扣費後）約為 12.1% APR</w:t>
      </w:r>
      <w:r>
        <w:rPr>
          <w:rFonts w:ascii="Microsoft JhengHei" w:cs="Microsoft JhengHei" w:eastAsia="Microsoft JhengHei" w:hAnsi="Microsoft JhengHei"/>
          <w:sz w:val="21"/>
          <w:szCs w:val="21"/>
        </w:rPr>
        <w:t xml:space="preserve">，USDT 出借約 11.3% APR。</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FRR（Flash Return Rate）歷史區間約為 3%–20% APR</w:t>
      </w:r>
      <w:r>
        <w:rPr>
          <w:rFonts w:ascii="Microsoft JhengHei" w:cs="Microsoft JhengHei" w:eastAsia="Microsoft JhengHei" w:hAnsi="Microsoft JhengHei"/>
          <w:sz w:val="21"/>
          <w:szCs w:val="21"/>
        </w:rPr>
        <w:t xml:space="preserve">，依市場槓桿需求供需波動，每小時更新一次。</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平台服務費：標準掛單 15%，隱藏掛單（Hidden Offer）18%</w:t>
      </w:r>
      <w:r>
        <w:rPr>
          <w:rFonts w:ascii="Microsoft JhengHei" w:cs="Microsoft JhengHei" w:eastAsia="Microsoft JhengHei" w:hAnsi="Microsoft JhengHei"/>
          <w:sz w:val="21"/>
          <w:szCs w:val="21"/>
        </w:rPr>
        <w:t xml:space="preserve">；利息按秒計算，最低計息單位為 1 小時。</w:t>
      </w:r>
    </w:p>
    <w:p>
      <w:pPr>
        <w:pStyle w:val="Heading3"/>
        <w:spacing w:after="120" w:before="220"/>
      </w:pPr>
      <w:r>
        <w:rPr>
          <w:rFonts w:ascii="Microsoft JhengHei" w:cs="Microsoft JhengHei" w:eastAsia="Microsoft JhengHei" w:hAnsi="Microsoft JhengHei"/>
          <w:b/>
          <w:bCs/>
          <w:color w:val="2E5395"/>
          <w:sz w:val="22"/>
          <w:szCs w:val="22"/>
        </w:rPr>
        <w:t xml:space="preserve">3.5 百萬美元資金數據穿透試算（扣除 15% 服務費後）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60"/>
      </w:tblGrid>
      <w:tr>
        <w:trPr>
          <w:tblHeader/>
        </w:trPr>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情境</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依據</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毛年化 APR</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淨年化收益率（Net APY）</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年度預期淨利（USD）</w:t>
            </w:r>
          </w:p>
        </w:tc>
        <w:tc>
          <w:tcPr>
            <w:tcW w:type="dxa" w:w="156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月度預期淨利（USD）</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保守情境</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FRR 歷史區間下緣</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5.0%</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4.25%</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$42,500</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$3,541.7</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基準情境</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2026 年 9 月即時市場日均利率</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12.1%</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10.29%</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$102,850</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$8,570.8</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樂觀情境</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FRR 歷史區間高點（槓桿需求旺盛期）</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20.0%+</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17.0%+</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$170,000+</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$14,166.7+</w:t>
            </w:r>
          </w:p>
        </w:tc>
      </w:tr>
    </w:tbl>
    <w:p>
      <w:pPr>
        <w:spacing w:after="160"/>
      </w:pPr>
    </w:p>
    <w:p>
      <w:pPr>
        <w:spacing w:after="160" w:line="300"/>
      </w:pPr>
      <w:r>
        <w:rPr>
          <w:rFonts w:ascii="Microsoft JhengHei" w:cs="Microsoft JhengHei" w:eastAsia="Microsoft JhengHei" w:hAnsi="Microsoft JhengHei"/>
          <w:b/>
          <w:bCs/>
          <w:sz w:val="21"/>
          <w:szCs w:val="21"/>
        </w:rPr>
        <w:t xml:space="preserve">相較即時 SOFR（3.66%）之超額利差：</w:t>
      </w:r>
      <w:r>
        <w:rPr>
          <w:rFonts w:ascii="Microsoft JhengHei" w:cs="Microsoft JhengHei" w:eastAsia="Microsoft JhengHei" w:hAnsi="Microsoft JhengHei"/>
          <w:sz w:val="21"/>
          <w:szCs w:val="21"/>
        </w:rPr>
        <w:t xml:space="preserve"> 保守情境 +59 bps；基準情境 +663 bps；樂觀情境 +1,334 bps+。</w:t>
      </w:r>
    </w:p>
    <w:p>
      <w:pPr>
        <w:pStyle w:val="Heading2"/>
        <w:spacing w:after="140" w:before="300"/>
      </w:pPr>
      <w:r>
        <w:rPr>
          <w:rFonts w:ascii="Microsoft JhengHei" w:cs="Microsoft JhengHei" w:eastAsia="Microsoft JhengHei" w:hAnsi="Microsoft JhengHei"/>
          <w:b/>
          <w:bCs/>
          <w:color w:val="1F3864"/>
          <w:sz w:val="25"/>
          <w:szCs w:val="25"/>
        </w:rPr>
        <w:t xml:space="preserve">4. OKX USDT 活期理財（Simple Earn 靈活）深度剖析</w:t>
      </w:r>
    </w:p>
    <w:p>
      <w:pPr>
        <w:pStyle w:val="Heading3"/>
        <w:spacing w:after="120" w:before="220"/>
      </w:pPr>
      <w:r>
        <w:rPr>
          <w:rFonts w:ascii="Microsoft JhengHei" w:cs="Microsoft JhengHei" w:eastAsia="Microsoft JhengHei" w:hAnsi="Microsoft JhengHei"/>
          <w:b/>
          <w:bCs/>
          <w:color w:val="2E5395"/>
          <w:sz w:val="22"/>
          <w:szCs w:val="22"/>
        </w:rPr>
        <w:t xml:space="preserve">4.1 運作架構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項目</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內容</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資金池借貸機制</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用戶存入之 USDT 併入 OKX 整體借貸資金池，OKX 每小時依借貸需求排序出借申請，用戶對交易所整體構成表內無擔保信用曝險</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儲備金證明（PoR）現況</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 OKX 公開揭露，OKX 已連續發布第 45 期月度儲備金證明（2026 年 8 月），其鏈上錢包合計持有約 232.3 億美元（BTC/ETH/USDT/USDC），主要資產儲備覆蓋率維持 100% 以上；驗證方式採用加密 Merkle 樹與 zk-STARK 約束機制</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4.2 最新分層階梯利率（Tiered APR）穿透（檢索日：2026 年 9 月）</w:t>
      </w:r>
    </w:p>
    <w:p>
      <w:pPr>
        <w:spacing w:after="160" w:line="300"/>
      </w:pPr>
      <w:r>
        <w:rPr>
          <w:rFonts w:ascii="Microsoft JhengHei" w:cs="Microsoft JhengHei" w:eastAsia="Microsoft JhengHei" w:hAnsi="Microsoft JhengHei"/>
          <w:sz w:val="21"/>
          <w:szCs w:val="21"/>
        </w:rPr>
        <w:t xml:space="preserve">- 依 OKX Help Center 官方說明：</w:t>
      </w:r>
      <w:r>
        <w:rPr>
          <w:rFonts w:ascii="Microsoft JhengHei" w:cs="Microsoft JhengHei" w:eastAsia="Microsoft JhengHei" w:hAnsi="Microsoft JhengHei"/>
          <w:b/>
          <w:bCs/>
          <w:sz w:val="21"/>
          <w:szCs w:val="21"/>
        </w:rPr>
        <w:t xml:space="preserve">前 500 USDT 享 Bonus APR 最高 10.00%</w:t>
      </w:r>
      <w:r>
        <w:rPr>
          <w:rFonts w:ascii="Microsoft JhengHei" w:cs="Microsoft JhengHei" w:eastAsia="Microsoft JhengHei" w:hAnsi="Microsoft JhengHei"/>
          <w:sz w:val="21"/>
          <w:szCs w:val="21"/>
        </w:rPr>
        <w:t xml:space="preserve">；超過該額度之部分，若成功出借，則依</w:t>
      </w:r>
      <w:r>
        <w:rPr>
          <w:rFonts w:ascii="Microsoft JhengHei" w:cs="Microsoft JhengHei" w:eastAsia="Microsoft JhengHei" w:hAnsi="Microsoft JhengHei"/>
          <w:b/>
          <w:bCs/>
          <w:sz w:val="21"/>
          <w:szCs w:val="21"/>
        </w:rPr>
        <w:t xml:space="preserve">市場浮動 APR</w:t>
      </w:r>
      <w:r>
        <w:rPr>
          <w:rFonts w:ascii="Microsoft JhengHei" w:cs="Microsoft JhengHei" w:eastAsia="Microsoft JhengHei" w:hAnsi="Microsoft JhengHei"/>
          <w:sz w:val="21"/>
          <w:szCs w:val="21"/>
        </w:rPr>
        <w:t xml:space="preserve"> 計息。</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平台費用：</w:t>
      </w:r>
      <w:r>
        <w:rPr>
          <w:rFonts w:ascii="Microsoft JhengHei" w:cs="Microsoft JhengHei" w:eastAsia="Microsoft JhengHei" w:hAnsi="Microsoft JhengHei"/>
          <w:sz w:val="21"/>
          <w:szCs w:val="21"/>
        </w:rPr>
        <w:t xml:space="preserve"> OKX 就 Simple Earn Flexible 之收益抽成 </w:t>
      </w:r>
      <w:r>
        <w:rPr>
          <w:rFonts w:ascii="Microsoft JhengHei" w:cs="Microsoft JhengHei" w:eastAsia="Microsoft JhengHei" w:hAnsi="Microsoft JhengHei"/>
          <w:b/>
          <w:bCs/>
          <w:sz w:val="21"/>
          <w:szCs w:val="21"/>
        </w:rPr>
        <w:t xml:space="preserve">15%</w:t>
      </w:r>
      <w:r>
        <w:rPr>
          <w:rFonts w:ascii="Microsoft JhengHei" w:cs="Microsoft JhengHei" w:eastAsia="Microsoft JhengHei" w:hAnsi="Microsoft JhengHei"/>
          <w:sz w:val="21"/>
          <w:szCs w:val="21"/>
        </w:rPr>
        <w:t xml:space="preserve">，官方公式：小時報酬 = 出借金額 × APR ÷ 365 ÷ 24 × 85%（即顯示利率已於實際入帳時扣除 15% 平台費）。</w:t>
      </w:r>
    </w:p>
    <w:p>
      <w:pPr>
        <w:pStyle w:val="Heading4"/>
        <w:spacing w:after="100" w:before="180"/>
      </w:pPr>
      <w:r>
        <w:rPr>
          <w:rFonts w:ascii="Microsoft JhengHei" w:cs="Microsoft JhengHei" w:eastAsia="Microsoft JhengHei" w:hAnsi="Microsoft JhengHei"/>
          <w:b/>
          <w:bCs/>
          <w:color w:val="44546A"/>
          <w:sz w:val="21"/>
          <w:szCs w:val="21"/>
        </w:rPr>
        <w:t xml:space="preserve">100 萬 USDT 規模加權平均 Effective APY 試算</w:t>
      </w:r>
    </w:p>
    <w:p>
      <w:pPr>
        <w:spacing w:after="160" w:line="300"/>
      </w:pPr>
      <w:r>
        <w:rPr>
          <w:rFonts w:ascii="Microsoft JhengHei" w:cs="Microsoft JhengHei" w:eastAsia="Microsoft JhengHei" w:hAnsi="Microsoft JhengHei"/>
          <w:sz w:val="21"/>
          <w:szCs w:val="21"/>
        </w:rPr>
        <w:t xml:space="preserve">假設超額部分之市場浮動 APR 落於代表性區間 2.0%–5.0%（依市場借貸供需即時調整，此處採區間試算以反映浮動特性）：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級距（USDT）</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級距內金額</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名目 APR</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稅後（扣 15% 費）淨 APR</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該級距淨利息貢獻（USD）</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 – 500（Bonus）</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500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10.00%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8.50%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$42.50</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500 – 1,000,000（市場浮動，中位情境 3.5%）</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999,500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3.50%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2.975%</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$29,735.13</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合計（中位情境）</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1,000,000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$29,777.63</w:t>
            </w:r>
          </w:p>
        </w:tc>
      </w:tr>
    </w:tbl>
    <w:p>
      <w:pPr>
        <w:spacing w:after="160"/>
      </w:pPr>
    </w:p>
    <w:p>
      <w:pPr>
        <w:spacing w:after="160" w:line="300"/>
      </w:pPr>
      <w:r>
        <w:rPr>
          <w:rFonts w:ascii="Microsoft JhengHei" w:cs="Microsoft JhengHei" w:eastAsia="Microsoft JhengHei" w:hAnsi="Microsoft JhengHei"/>
          <w:b/>
          <w:bCs/>
          <w:sz w:val="21"/>
          <w:szCs w:val="21"/>
        </w:rPr>
        <w:t xml:space="preserve">加權平均 Effective APY（中位情境）= 2.98%</w:t>
      </w:r>
      <w:r>
        <w:rPr>
          <w:rFonts w:ascii="Microsoft JhengHei" w:cs="Microsoft JhengHei" w:eastAsia="Microsoft JhengHei" w:hAnsi="Microsoft JhengHei"/>
          <w:sz w:val="21"/>
          <w:szCs w:val="21"/>
        </w:rPr>
        <w:t xml:space="preserve">；若市場浮動 APR 落於 2.0%–5.0% 區間兩端，Effective APY 相應落於</w:t>
      </w:r>
      <w:r>
        <w:rPr>
          <w:rFonts w:ascii="Microsoft JhengHei" w:cs="Microsoft JhengHei" w:eastAsia="Microsoft JhengHei" w:hAnsi="Microsoft JhengHei"/>
          <w:b/>
          <w:bCs/>
          <w:sz w:val="21"/>
          <w:szCs w:val="21"/>
        </w:rPr>
        <w:t xml:space="preserve">約 1.70%–4.25%</w:t>
      </w:r>
      <w:r>
        <w:rPr>
          <w:rFonts w:ascii="Microsoft JhengHei" w:cs="Microsoft JhengHei" w:eastAsia="Microsoft JhengHei" w:hAnsi="Microsoft JhengHei"/>
          <w:sz w:val="21"/>
          <w:szCs w:val="21"/>
        </w:rPr>
        <w:t xml:space="preserve"> 範圍。</w:t>
      </w:r>
    </w:p>
    <w:p>
      <w:pPr>
        <w:pStyle w:val="Heading3"/>
        <w:spacing w:after="120" w:before="220"/>
      </w:pPr>
      <w:r>
        <w:rPr>
          <w:rFonts w:ascii="Microsoft JhengHei" w:cs="Microsoft JhengHei" w:eastAsia="Microsoft JhengHei" w:hAnsi="Microsoft JhengHei"/>
          <w:b/>
          <w:bCs/>
          <w:color w:val="2E5395"/>
          <w:sz w:val="22"/>
          <w:szCs w:val="22"/>
        </w:rPr>
        <w:t xml:space="preserve">4.3 財務定位：T+0 流動性緩衝之運用效益</w:t>
      </w:r>
    </w:p>
    <w:p>
      <w:pPr>
        <w:spacing w:after="160" w:line="300"/>
      </w:pPr>
      <w:r>
        <w:rPr>
          <w:rFonts w:ascii="Microsoft JhengHei" w:cs="Microsoft JhengHei" w:eastAsia="Microsoft JhengHei" w:hAnsi="Microsoft JhengHei"/>
          <w:sz w:val="21"/>
          <w:szCs w:val="21"/>
        </w:rPr>
        <w:t xml:space="preserve">OKX Simple Earn Flexible 支援</w:t>
      </w:r>
      <w:r>
        <w:rPr>
          <w:rFonts w:ascii="Microsoft JhengHei" w:cs="Microsoft JhengHei" w:eastAsia="Microsoft JhengHei" w:hAnsi="Microsoft JhengHei"/>
          <w:b/>
          <w:bCs/>
          <w:sz w:val="21"/>
          <w:szCs w:val="21"/>
        </w:rPr>
        <w:t xml:space="preserve">即時或近即時贖回</w:t>
      </w:r>
      <w:r>
        <w:rPr>
          <w:rFonts w:ascii="Microsoft JhengHei" w:cs="Microsoft JhengHei" w:eastAsia="Microsoft JhengHei" w:hAnsi="Microsoft JhengHei"/>
          <w:sz w:val="21"/>
          <w:szCs w:val="21"/>
        </w:rPr>
        <w:t xml:space="preserve">，其正面財務價值在於：作為公司日常營運資金之</w:t>
      </w:r>
      <w:r>
        <w:rPr>
          <w:rFonts w:ascii="Microsoft JhengHei" w:cs="Microsoft JhengHei" w:eastAsia="Microsoft JhengHei" w:hAnsi="Microsoft JhengHei"/>
          <w:b/>
          <w:bCs/>
          <w:sz w:val="21"/>
          <w:szCs w:val="21"/>
        </w:rPr>
        <w:t xml:space="preserve">應急調度緩衝池</w:t>
      </w:r>
      <w:r>
        <w:rPr>
          <w:rFonts w:ascii="Microsoft JhengHei" w:cs="Microsoft JhengHei" w:eastAsia="Microsoft JhengHei" w:hAnsi="Microsoft JhengHei"/>
          <w:sz w:val="21"/>
          <w:szCs w:val="21"/>
        </w:rPr>
        <w:t xml:space="preserve">，可於數分鐘至數小時內完成資金召回，填補傳統銀行電匯結算時差（T+1 至 T+2）所產生之短期流動性缺口，此為 Bitfinex 天期鎖定型出借部位所不具備之特性。</w:t>
      </w:r>
    </w:p>
    <w:p>
      <w:pPr>
        <w:pStyle w:val="Heading2"/>
        <w:spacing w:after="140" w:before="300"/>
      </w:pPr>
      <w:r>
        <w:rPr>
          <w:rFonts w:ascii="Microsoft JhengHei" w:cs="Microsoft JhengHei" w:eastAsia="Microsoft JhengHei" w:hAnsi="Microsoft JhengHei"/>
          <w:b/>
          <w:bCs/>
          <w:color w:val="1F3864"/>
          <w:sz w:val="25"/>
          <w:szCs w:val="25"/>
        </w:rPr>
        <w:t xml:space="preserve">5. Binance USDT 活期理財（Simple Earn 活期）深度剖析</w:t>
      </w:r>
    </w:p>
    <w:p>
      <w:pPr>
        <w:pStyle w:val="Heading3"/>
        <w:spacing w:after="120" w:before="220"/>
      </w:pPr>
      <w:r>
        <w:rPr>
          <w:rFonts w:ascii="Microsoft JhengHei" w:cs="Microsoft JhengHei" w:eastAsia="Microsoft JhengHei" w:hAnsi="Microsoft JhengHei"/>
          <w:b/>
          <w:bCs/>
          <w:color w:val="2E5395"/>
          <w:sz w:val="22"/>
          <w:szCs w:val="22"/>
        </w:rPr>
        <w:t xml:space="preserve">5.1 運作架構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項目</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內容</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資金池借貸機制</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與 OKX 類似，用戶 USDT 併入 Binance 整體資金池，依 Real-Time APR（即時浮動，每分鐘更新）計息</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SAFU 保護基金現況</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 2026 年公開資訊，Binance SAFU 基金已於 2026 年 2 月完成組成調整，將原約 10 億美元之穩定幣儲備全數轉換為約 15,000 枚 BTC（價值約 10 億美元），並承諾若基金價值因市場波動跌破 8 億美元將補充至原水位；Binance 整體用戶資產儲備證明（PoR）截至 2025 年底約揭露 1,628 億美元</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5.2 最新分層階梯利率（Tiered APR）穿透（檢索日：2026 年 9 月）</w:t>
      </w:r>
    </w:p>
    <w:p>
      <w:pPr>
        <w:spacing w:after="160" w:line="300"/>
      </w:pPr>
      <w:r>
        <w:rPr>
          <w:rFonts w:ascii="Microsoft JhengHei" w:cs="Microsoft JhengHei" w:eastAsia="Microsoft JhengHei" w:hAnsi="Microsoft JhengHei"/>
          <w:sz w:val="21"/>
          <w:szCs w:val="21"/>
        </w:rPr>
        <w:t xml:space="preserve">依 Binance 官方公告（2026 年 8 月 14 日 Yield Arena 活動實例）：</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USDT Flexible：Real-Time APR 約 1.5%</w:t>
      </w:r>
      <w:r>
        <w:rPr>
          <w:rFonts w:ascii="Microsoft JhengHei" w:cs="Microsoft JhengHei" w:eastAsia="Microsoft JhengHei" w:hAnsi="Microsoft JhengHei"/>
          <w:sz w:val="21"/>
          <w:szCs w:val="21"/>
        </w:rPr>
        <w:t xml:space="preserve">，另於</w:t>
      </w:r>
      <w:r>
        <w:rPr>
          <w:rFonts w:ascii="Microsoft JhengHei" w:cs="Microsoft JhengHei" w:eastAsia="Microsoft JhengHei" w:hAnsi="Microsoft JhengHei"/>
          <w:b/>
          <w:bCs/>
          <w:sz w:val="21"/>
          <w:szCs w:val="21"/>
        </w:rPr>
        <w:t xml:space="preserve">前 200 USDT</w:t>
      </w:r>
      <w:r>
        <w:rPr>
          <w:rFonts w:ascii="Microsoft JhengHei" w:cs="Microsoft JhengHei" w:eastAsia="Microsoft JhengHei" w:hAnsi="Microsoft JhengHei"/>
          <w:sz w:val="21"/>
          <w:szCs w:val="21"/>
        </w:rPr>
        <w:t xml:space="preserve"> 提供 </w:t>
      </w:r>
      <w:r>
        <w:rPr>
          <w:rFonts w:ascii="Microsoft JhengHei" w:cs="Microsoft JhengHei" w:eastAsia="Microsoft JhengHei" w:hAnsi="Microsoft JhengHei"/>
          <w:b/>
          <w:bCs/>
          <w:sz w:val="21"/>
          <w:szCs w:val="21"/>
        </w:rPr>
        <w:t xml:space="preserve">Bonus Tiered APR 3.0%</w:t>
      </w:r>
      <w:r>
        <w:rPr>
          <w:rFonts w:ascii="Microsoft JhengHei" w:cs="Microsoft JhengHei" w:eastAsia="Microsoft JhengHei" w:hAnsi="Microsoft JhengHei"/>
          <w:sz w:val="21"/>
          <w:szCs w:val="21"/>
        </w:rPr>
        <w:t xml:space="preserve">（與 Real-Time APR 疊加，即該級距合計約 4.5%）。</w:t>
      </w:r>
    </w:p>
    <w:p>
      <w:pPr>
        <w:spacing w:after="160" w:line="300"/>
      </w:pPr>
      <w:r>
        <w:rPr>
          <w:rFonts w:ascii="Microsoft JhengHei" w:cs="Microsoft JhengHei" w:eastAsia="Microsoft JhengHei" w:hAnsi="Microsoft JhengHei"/>
          <w:sz w:val="21"/>
          <w:szCs w:val="21"/>
        </w:rPr>
        <w:t xml:space="preserve">- 另有其他 2026 年度促銷公告顯示 USDT Flexible 產品「最高可達 6% APR」，惟此類頭牌數字同樣僅適用於極小額之促銷級距。</w:t>
      </w:r>
    </w:p>
    <w:p>
      <w:pPr>
        <w:pStyle w:val="Heading4"/>
        <w:spacing w:after="100" w:before="180"/>
      </w:pPr>
      <w:r>
        <w:rPr>
          <w:rFonts w:ascii="Microsoft JhengHei" w:cs="Microsoft JhengHei" w:eastAsia="Microsoft JhengHei" w:hAnsi="Microsoft JhengHei"/>
          <w:b/>
          <w:bCs/>
          <w:color w:val="44546A"/>
          <w:sz w:val="21"/>
          <w:szCs w:val="21"/>
        </w:rPr>
        <w:t xml:space="preserve">100 萬 USDT 規模加權平均 Effective APY 試算</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級距（USDT）</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級距內金額</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適用利率</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該級距利息貢獻（USD）</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 – 200（Real-Time APR + Bonus）</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4.50%（1.5%+3.0%）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$9.00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200 – 1,000,000（Real-Time APR）</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999,800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1.50%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$14,997.00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合計</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1,000,000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$15,006.00</w:t>
            </w:r>
          </w:p>
        </w:tc>
      </w:tr>
    </w:tbl>
    <w:p>
      <w:pPr>
        <w:spacing w:after="160"/>
      </w:pPr>
    </w:p>
    <w:p>
      <w:pPr>
        <w:spacing w:after="160" w:line="300"/>
      </w:pPr>
      <w:r>
        <w:rPr>
          <w:rFonts w:ascii="Microsoft JhengHei" w:cs="Microsoft JhengHei" w:eastAsia="Microsoft JhengHei" w:hAnsi="Microsoft JhengHei"/>
          <w:b/>
          <w:bCs/>
          <w:sz w:val="21"/>
          <w:szCs w:val="21"/>
        </w:rPr>
        <w:t xml:space="preserve">加權平均 Effective APY = 1.50%</w:t>
      </w:r>
      <w:r>
        <w:rPr>
          <w:rFonts w:ascii="Microsoft JhengHei" w:cs="Microsoft JhengHei" w:eastAsia="Microsoft JhengHei" w:hAnsi="Microsoft JhengHei"/>
          <w:sz w:val="21"/>
          <w:szCs w:val="21"/>
        </w:rPr>
        <w:t xml:space="preserve">（因 Bonus 級距僅佔百萬資金規模之 0.02%，對整體加權平均之影響可忽略不計，實際上機構規模之有效年化幾乎完全收斂至 Real-Time APR 基礎利率）。</w:t>
      </w:r>
    </w:p>
    <w:p>
      <w:pPr>
        <w:pStyle w:val="Heading3"/>
        <w:spacing w:after="120" w:before="220"/>
      </w:pPr>
      <w:r>
        <w:rPr>
          <w:rFonts w:ascii="Microsoft JhengHei" w:cs="Microsoft JhengHei" w:eastAsia="Microsoft JhengHei" w:hAnsi="Microsoft JhengHei"/>
          <w:b/>
          <w:bCs/>
          <w:color w:val="2E5395"/>
          <w:sz w:val="22"/>
          <w:szCs w:val="22"/>
        </w:rPr>
        <w:t xml:space="preserve">5.3 財務定位：全球最大穩定幣流動池與跨平台備援</w:t>
      </w:r>
    </w:p>
    <w:p>
      <w:pPr>
        <w:spacing w:after="160" w:line="300"/>
      </w:pPr>
      <w:r>
        <w:rPr>
          <w:rFonts w:ascii="Microsoft JhengHei" w:cs="Microsoft JhengHei" w:eastAsia="Microsoft JhengHei" w:hAnsi="Microsoft JhengHei"/>
          <w:sz w:val="21"/>
          <w:szCs w:val="21"/>
        </w:rPr>
        <w:t xml:space="preserve">Binance 為全球交易量與穩定幣流動池規模最大之交易所，其活期產品之核心財務價值同樣在於</w:t>
      </w:r>
      <w:r>
        <w:rPr>
          <w:rFonts w:ascii="Microsoft JhengHei" w:cs="Microsoft JhengHei" w:eastAsia="Microsoft JhengHei" w:hAnsi="Microsoft JhengHei"/>
          <w:b/>
          <w:bCs/>
          <w:sz w:val="21"/>
          <w:szCs w:val="21"/>
        </w:rPr>
        <w:t xml:space="preserve">即時贖回彈性</w:t>
      </w:r>
      <w:r>
        <w:rPr>
          <w:rFonts w:ascii="Microsoft JhengHei" w:cs="Microsoft JhengHei" w:eastAsia="Microsoft JhengHei" w:hAnsi="Microsoft JhengHei"/>
          <w:sz w:val="21"/>
          <w:szCs w:val="21"/>
        </w:rPr>
        <w:t xml:space="preserve">。與 OKX 活期理財併用，可形成</w:t>
      </w:r>
      <w:r>
        <w:rPr>
          <w:rFonts w:ascii="Microsoft JhengHei" w:cs="Microsoft JhengHei" w:eastAsia="Microsoft JhengHei" w:hAnsi="Microsoft JhengHei"/>
          <w:b/>
          <w:bCs/>
          <w:sz w:val="21"/>
          <w:szCs w:val="21"/>
        </w:rPr>
        <w:t xml:space="preserve">跨平台流動性備援</w:t>
      </w:r>
      <w:r>
        <w:rPr>
          <w:rFonts w:ascii="Microsoft JhengHei" w:cs="Microsoft JhengHei" w:eastAsia="Microsoft JhengHei" w:hAnsi="Microsoft JhengHei"/>
          <w:sz w:val="21"/>
          <w:szCs w:val="21"/>
        </w:rPr>
        <w:t xml:space="preserve">，降低單一交易所出金延遲或維護停機對公司營運資金調度之衝擊。</w:t>
      </w:r>
    </w:p>
    <w:p>
      <w:pPr>
        <w:pStyle w:val="Heading2"/>
        <w:spacing w:after="140" w:before="300"/>
      </w:pPr>
      <w:r>
        <w:rPr>
          <w:rFonts w:ascii="Microsoft JhengHei" w:cs="Microsoft JhengHei" w:eastAsia="Microsoft JhengHei" w:hAnsi="Microsoft JhengHei"/>
          <w:b/>
          <w:bCs/>
          <w:color w:val="1F3864"/>
          <w:sz w:val="25"/>
          <w:szCs w:val="25"/>
        </w:rPr>
        <w:t xml:space="preserve">6. OKX 雙幣贏（Dual Investment）深度剖析</w:t>
      </w:r>
    </w:p>
    <w:p>
      <w:pPr>
        <w:pStyle w:val="Heading3"/>
        <w:spacing w:after="120" w:before="220"/>
      </w:pPr>
      <w:r>
        <w:rPr>
          <w:rFonts w:ascii="Microsoft JhengHei" w:cs="Microsoft JhengHei" w:eastAsia="Microsoft JhengHei" w:hAnsi="Microsoft JhengHei"/>
          <w:b/>
          <w:bCs/>
          <w:color w:val="2E5395"/>
          <w:sz w:val="22"/>
          <w:szCs w:val="22"/>
        </w:rPr>
        <w:t xml:space="preserve">6.1 金融工程底層原理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結構</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選擇權對應部位</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機制說明</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低買（Buy Low）</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出售看跌期權（Short Put）</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投資人以 USDT（或計價幣）申購，約定行使價（低於現貨價）；若結算價跌破行使價，投資人本金將被強制轉換為標的資產（等同於「被行權接盤」）</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高賣（Sell High）</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出售看漲期權（Short Call）</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投資人以標的資產（如 BTC）申購，約定行使價（高於現貨價）；若結算價漲破行使價，投資人資產將被強制轉換為計價幣（等同於「被行權賣出」）</w:t>
            </w:r>
          </w:p>
        </w:tc>
      </w:tr>
    </w:tbl>
    <w:p>
      <w:pPr>
        <w:spacing w:after="160"/>
      </w:pPr>
    </w:p>
    <w:p>
      <w:pPr>
        <w:spacing w:after="160" w:line="300"/>
      </w:pPr>
      <w:r>
        <w:rPr>
          <w:rFonts w:ascii="Microsoft JhengHei" w:cs="Microsoft JhengHei" w:eastAsia="Microsoft JhengHei" w:hAnsi="Microsoft JhengHei"/>
          <w:sz w:val="21"/>
          <w:szCs w:val="21"/>
        </w:rPr>
        <w:t xml:space="preserve">依 OKX 官方說明，投資人可自訂行使價（Target Price）與天期（Term，指自計息起算至到期之天數），</w:t>
      </w:r>
      <w:r>
        <w:rPr>
          <w:rFonts w:ascii="Microsoft JhengHei" w:cs="Microsoft JhengHei" w:eastAsia="Microsoft JhengHei" w:hAnsi="Microsoft JhengHei"/>
          <w:b/>
          <w:bCs/>
          <w:sz w:val="21"/>
          <w:szCs w:val="21"/>
        </w:rPr>
        <w:t xml:space="preserve">「距離現貨越近，可獲得之年化利率越高，但轉換（履約）機率亦隨之提高」</w:t>
      </w:r>
      <w:r>
        <w:rPr>
          <w:rFonts w:ascii="Microsoft JhengHei" w:cs="Microsoft JhengHei" w:eastAsia="Microsoft JhengHei" w:hAnsi="Microsoft JhengHei"/>
          <w:sz w:val="21"/>
          <w:szCs w:val="21"/>
        </w:rPr>
        <w:t xml:space="preserve">，且</w:t>
      </w:r>
      <w:r>
        <w:rPr>
          <w:rFonts w:ascii="Microsoft JhengHei" w:cs="Microsoft JhengHei" w:eastAsia="Microsoft JhengHei" w:hAnsi="Microsoft JhengHei"/>
          <w:b/>
          <w:bCs/>
          <w:sz w:val="21"/>
          <w:szCs w:val="21"/>
        </w:rPr>
        <w:t xml:space="preserve">「年化利率 = 產品期間之固定報酬率 × 365 ÷ Term」</w:t>
      </w:r>
      <w:r>
        <w:rPr>
          <w:rFonts w:ascii="Microsoft JhengHei" w:cs="Microsoft JhengHei" w:eastAsia="Microsoft JhengHei" w:hAnsi="Microsoft JhengHei"/>
          <w:sz w:val="21"/>
          <w:szCs w:val="21"/>
        </w:rPr>
        <w:t xml:space="preserve">——此公式本質即為選擇權權利金之年化換算，而非傳統意義之利息。</w:t>
      </w:r>
    </w:p>
    <w:p>
      <w:pPr>
        <w:pStyle w:val="Heading3"/>
        <w:spacing w:after="120" w:before="220"/>
      </w:pPr>
      <w:r>
        <w:rPr>
          <w:rFonts w:ascii="Microsoft JhengHei" w:cs="Microsoft JhengHei" w:eastAsia="Microsoft JhengHei" w:hAnsi="Microsoft JhengHei"/>
          <w:b/>
          <w:bCs/>
          <w:color w:val="2E5395"/>
          <w:sz w:val="22"/>
          <w:szCs w:val="22"/>
        </w:rPr>
        <w:t xml:space="preserve">6.2 最新市場收益數據</w:t>
      </w:r>
    </w:p>
    <w:p>
      <w:pPr>
        <w:spacing w:after="160" w:line="300"/>
      </w:pPr>
      <w:r>
        <w:rPr>
          <w:rFonts w:ascii="Microsoft JhengHei" w:cs="Microsoft JhengHei" w:eastAsia="Microsoft JhengHei" w:hAnsi="Microsoft JhengHei"/>
          <w:sz w:val="21"/>
          <w:szCs w:val="21"/>
        </w:rPr>
        <w:t xml:space="preserve">OKX 官方頁面未固定揭露單一年化數字，其年化區間隨標的資產、行使價距離與天期即時變動。同業（Binance，見第 7 章）官方揭露之雙幣理財年化區間約為 </w:t>
      </w:r>
      <w:r>
        <w:rPr>
          <w:rFonts w:ascii="Microsoft JhengHei" w:cs="Microsoft JhengHei" w:eastAsia="Microsoft JhengHei" w:hAnsi="Microsoft JhengHei"/>
          <w:b/>
          <w:bCs/>
          <w:sz w:val="21"/>
          <w:szCs w:val="21"/>
        </w:rPr>
        <w:t xml:space="preserve">4%–138%</w:t>
      </w:r>
      <w:r>
        <w:rPr>
          <w:rFonts w:ascii="Microsoft JhengHei" w:cs="Microsoft JhengHei" w:eastAsia="Microsoft JhengHei" w:hAnsi="Microsoft JhengHei"/>
          <w:sz w:val="21"/>
          <w:szCs w:val="21"/>
        </w:rPr>
        <w:t xml:space="preserve">（部分歷史商品曾達 175%），可作為此類結構型商品市場定價區間之參照基準——</w:t>
      </w:r>
      <w:r>
        <w:rPr>
          <w:rFonts w:ascii="Microsoft JhengHei" w:cs="Microsoft JhengHei" w:eastAsia="Microsoft JhengHei" w:hAnsi="Microsoft JhengHei"/>
          <w:b/>
          <w:bCs/>
          <w:sz w:val="21"/>
          <w:szCs w:val="21"/>
        </w:rPr>
        <w:t xml:space="preserve">年化利率之高低直接對應該天期內市場隱含波動率（Implied Volatility）之高低</w:t>
      </w:r>
      <w:r>
        <w:rPr>
          <w:rFonts w:ascii="Microsoft JhengHei" w:cs="Microsoft JhengHei" w:eastAsia="Microsoft JhengHei" w:hAnsi="Microsoft JhengHei"/>
          <w:sz w:val="21"/>
          <w:szCs w:val="21"/>
        </w:rPr>
        <w:t xml:space="preserve">。</w:t>
      </w:r>
    </w:p>
    <w:p>
      <w:pPr>
        <w:pStyle w:val="Heading3"/>
        <w:spacing w:after="120" w:before="220"/>
      </w:pPr>
      <w:r>
        <w:rPr>
          <w:rFonts w:ascii="Microsoft JhengHei" w:cs="Microsoft JhengHei" w:eastAsia="Microsoft JhengHei" w:hAnsi="Microsoft JhengHei"/>
          <w:b/>
          <w:bCs/>
          <w:color w:val="2E5395"/>
          <w:sz w:val="22"/>
          <w:szCs w:val="22"/>
        </w:rPr>
        <w:t xml:space="preserve">6.3 百萬資金情境損益試算（示意性範例：低買 BTC）</w:t>
      </w:r>
    </w:p>
    <w:p>
      <w:pPr>
        <w:pBdr>
          <w:left w:val="single" w:color="1F3864" w:sz="18"/>
        </w:pBdr>
        <w:shd w:fill="F2F2F2" w:val="clear"/>
        <w:spacing w:after="200" w:before="120"/>
        <w:ind w:left="360"/>
      </w:pPr>
      <w:r>
        <w:rPr>
          <w:rFonts w:ascii="Microsoft JhengHei" w:cs="Microsoft JhengHei" w:eastAsia="Microsoft JhengHei" w:hAnsi="Microsoft JhengHei"/>
          <w:i/>
          <w:iCs/>
          <w:sz w:val="21"/>
          <w:szCs w:val="21"/>
        </w:rPr>
        <w:t xml:space="preserve">以下為</w:t>
      </w:r>
      <w:r>
        <w:rPr>
          <w:rFonts w:ascii="Microsoft JhengHei" w:cs="Microsoft JhengHei" w:eastAsia="Microsoft JhengHei" w:hAnsi="Microsoft JhengHei"/>
          <w:b/>
          <w:bCs/>
          <w:i/>
          <w:iCs/>
          <w:sz w:val="21"/>
          <w:szCs w:val="21"/>
        </w:rPr>
        <w:t xml:space="preserve">示意性範例</w:t>
      </w:r>
      <w:r>
        <w:rPr>
          <w:rFonts w:ascii="Microsoft JhengHei" w:cs="Microsoft JhengHei" w:eastAsia="Microsoft JhengHei" w:hAnsi="Microsoft JhengHei"/>
          <w:i/>
          <w:iCs/>
          <w:sz w:val="21"/>
          <w:szCs w:val="21"/>
        </w:rPr>
        <w:t xml:space="preserve">，用以展示金融工程機制與損益特性，非市場預測或即時報價。</w:t>
      </w:r>
    </w:p>
    <w:p>
      <w:pPr>
        <w:spacing w:after="160" w:line="300"/>
      </w:pPr>
      <w:r>
        <w:rPr>
          <w:rFonts w:ascii="Microsoft JhengHei" w:cs="Microsoft JhengHei" w:eastAsia="Microsoft JhengHei" w:hAnsi="Microsoft JhengHei"/>
          <w:b/>
          <w:bCs/>
          <w:sz w:val="21"/>
          <w:szCs w:val="21"/>
        </w:rPr>
        <w:t xml:space="preserve">產品設定：</w:t>
      </w:r>
      <w:r>
        <w:rPr>
          <w:rFonts w:ascii="Microsoft JhengHei" w:cs="Microsoft JhengHei" w:eastAsia="Microsoft JhengHei" w:hAnsi="Microsoft JhengHei"/>
          <w:sz w:val="21"/>
          <w:szCs w:val="21"/>
        </w:rPr>
        <w:t xml:space="preserve"> BTC/USDT 現貨價 $60,000；行使價 $57,000（價外 5%）；天期 7 天；示意年化 45%。</w:t>
      </w:r>
    </w:p>
    <w:p>
      <w:pPr>
        <w:spacing w:after="160" w:line="300"/>
      </w:pPr>
      <w:r>
        <w:rPr>
          <w:rFonts w:ascii="Microsoft JhengHei" w:cs="Microsoft JhengHei" w:eastAsia="Microsoft JhengHei" w:hAnsi="Microsoft JhengHei"/>
          <w:b/>
          <w:bCs/>
          <w:sz w:val="21"/>
          <w:szCs w:val="21"/>
        </w:rPr>
        <w:t xml:space="preserve">權利金收入：</w:t>
      </w:r>
      <w:r>
        <w:rPr>
          <w:rFonts w:ascii="Microsoft JhengHei" w:cs="Microsoft JhengHei" w:eastAsia="Microsoft JhengHei" w:hAnsi="Microsoft JhengHei"/>
          <w:sz w:val="21"/>
          <w:szCs w:val="21"/>
        </w:rPr>
        <w:t xml:space="preserve"> $1,000,000 × 45% × (7/365) ≈ </w:t>
      </w:r>
      <w:r>
        <w:rPr>
          <w:rFonts w:ascii="Microsoft JhengHei" w:cs="Microsoft JhengHei" w:eastAsia="Microsoft JhengHei" w:hAnsi="Microsoft JhengHei"/>
          <w:b/>
          <w:bCs/>
          <w:sz w:val="21"/>
          <w:szCs w:val="21"/>
        </w:rPr>
        <w:t xml:space="preserve">$8,630.14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情境</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結算條件</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損益結果</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情境 1：價外到期</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結算價 ≥ $57,000（未跌破行使價）</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取回本金 $1,000,000 + 權利金 $8,630.14 = </w:t>
            </w:r>
            <w:r>
              <w:rPr>
                <w:rFonts w:ascii="Microsoft JhengHei" w:cs="Microsoft JhengHei" w:eastAsia="Microsoft JhengHei" w:hAnsi="Microsoft JhengHei"/>
                <w:b/>
                <w:bCs/>
                <w:sz w:val="18"/>
                <w:szCs w:val="18"/>
              </w:rPr>
              <w:t xml:space="preserve">$1,008,630.14</w:t>
            </w:r>
            <w:r>
              <w:rPr>
                <w:rFonts w:ascii="Microsoft JhengHei" w:cs="Microsoft JhengHei" w:eastAsia="Microsoft JhengHei" w:hAnsi="Microsoft JhengHei"/>
                <w:sz w:val="18"/>
                <w:szCs w:val="18"/>
              </w:rPr>
              <w:t xml:space="preserve">（單週報酬率 +0.86%）</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情境 2：小幅價內</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結算價微幅跌破行使價，例如 $55,000</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強制以 $57,000 換購 BTC，取得 17.5439 BTC；以結算價 $55,000 計值 = $964,912.30，加計權利金後總值 </w:t>
            </w:r>
            <w:r>
              <w:rPr>
                <w:rFonts w:ascii="Microsoft JhengHei" w:cs="Microsoft JhengHei" w:eastAsia="Microsoft JhengHei" w:hAnsi="Microsoft JhengHei"/>
                <w:b/>
                <w:bCs/>
                <w:sz w:val="18"/>
                <w:szCs w:val="18"/>
              </w:rPr>
              <w:t xml:space="preserve">$973,542.44</w:t>
            </w:r>
            <w:r>
              <w:rPr>
                <w:rFonts w:ascii="Microsoft JhengHei" w:cs="Microsoft JhengHei" w:eastAsia="Microsoft JhengHei" w:hAnsi="Microsoft JhengHei"/>
                <w:sz w:val="18"/>
                <w:szCs w:val="18"/>
              </w:rPr>
              <w:t xml:space="preserve">（單週報酬率 -2.65%，權利金部分抵銷跌幅）</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情境 3：深度價內（單週暴跌 25%）</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結算價跌至 $45,000</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強制以 $57,000 換購 BTC，取得 17.5439 BTC；以結算價 $45,000 計值 = $789,474.60，加計權利金後總值 </w:t>
            </w:r>
            <w:r>
              <w:rPr>
                <w:rFonts w:ascii="Microsoft JhengHei" w:cs="Microsoft JhengHei" w:eastAsia="Microsoft JhengHei" w:hAnsi="Microsoft JhengHei"/>
                <w:b/>
                <w:bCs/>
                <w:sz w:val="18"/>
                <w:szCs w:val="18"/>
              </w:rPr>
              <w:t xml:space="preserve">$798,104.74</w:t>
            </w:r>
            <w:r>
              <w:rPr>
                <w:rFonts w:ascii="Microsoft JhengHei" w:cs="Microsoft JhengHei" w:eastAsia="Microsoft JhengHei" w:hAnsi="Microsoft JhengHei"/>
                <w:sz w:val="18"/>
                <w:szCs w:val="18"/>
              </w:rPr>
              <w:t xml:space="preserve">（單週報酬率 </w:t>
            </w:r>
            <w:r>
              <w:rPr>
                <w:rFonts w:ascii="Microsoft JhengHei" w:cs="Microsoft JhengHei" w:eastAsia="Microsoft JhengHei" w:hAnsi="Microsoft JhengHei"/>
                <w:b/>
                <w:bCs/>
                <w:sz w:val="18"/>
                <w:szCs w:val="18"/>
              </w:rPr>
              <w:t xml:space="preserve">-20.19%</w:t>
            </w:r>
            <w:r>
              <w:rPr>
                <w:rFonts w:ascii="Microsoft JhengHei" w:cs="Microsoft JhengHei" w:eastAsia="Microsoft JhengHei" w:hAnsi="Microsoft JhengHei"/>
                <w:sz w:val="18"/>
                <w:szCs w:val="18"/>
              </w:rPr>
              <w:t xml:space="preserve">）</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6.4 進階策略：轉換後之滾動掛單（"Wheel" 策略）</w:t>
      </w:r>
    </w:p>
    <w:p>
      <w:pPr>
        <w:spacing w:after="160" w:line="300"/>
      </w:pPr>
      <w:r>
        <w:rPr>
          <w:rFonts w:ascii="Microsoft JhengHei" w:cs="Microsoft JhengHei" w:eastAsia="Microsoft JhengHei" w:hAnsi="Microsoft JhengHei"/>
          <w:sz w:val="21"/>
          <w:szCs w:val="21"/>
        </w:rPr>
        <w:t xml:space="preserve">第 6.3 節之情境試算僅呈現「單一週期、到期即結算」之損益結果，惟實務上出借人（或此處應稱「權利金賣方」）於本金遭強制轉換為 BTC 後，</w:t>
      </w:r>
      <w:r>
        <w:rPr>
          <w:rFonts w:ascii="Microsoft JhengHei" w:cs="Microsoft JhengHei" w:eastAsia="Microsoft JhengHei" w:hAnsi="Microsoft JhengHei"/>
          <w:b/>
          <w:bCs/>
          <w:sz w:val="21"/>
          <w:szCs w:val="21"/>
        </w:rPr>
        <w:t xml:space="preserve">並非只能被動認列該週期之帳面跌幅</w:t>
      </w:r>
      <w:r>
        <w:rPr>
          <w:rFonts w:ascii="Microsoft JhengHei" w:cs="Microsoft JhengHei" w:eastAsia="Microsoft JhengHei" w:hAnsi="Microsoft JhengHei"/>
          <w:sz w:val="21"/>
          <w:szCs w:val="21"/>
        </w:rPr>
        <w:t xml:space="preserve">，而可持續以持有之 BTC 反向掛出「高賣（Sell High）」，並將行使價設定於</w:t>
      </w:r>
      <w:r>
        <w:rPr>
          <w:rFonts w:ascii="Microsoft JhengHei" w:cs="Microsoft JhengHei" w:eastAsia="Microsoft JhengHei" w:hAnsi="Microsoft JhengHei"/>
          <w:b/>
          <w:bCs/>
          <w:sz w:val="21"/>
          <w:szCs w:val="21"/>
        </w:rPr>
        <w:t xml:space="preserve">原始轉換價</w:t>
      </w:r>
      <w:r>
        <w:rPr>
          <w:rFonts w:ascii="Microsoft JhengHei" w:cs="Microsoft JhengHei" w:eastAsia="Microsoft JhengHei" w:hAnsi="Microsoft JhengHei"/>
          <w:sz w:val="21"/>
          <w:szCs w:val="21"/>
        </w:rPr>
        <w:t xml:space="preserve">，藉此在等待價格反彈期間持續收取權利金；若價格最終確實回升至原轉換價，該筆 BTC 將依原價轉換回 USDT，本金名目金額得以完整取回，並額外累積多期權利金收入。此操作本質上即選擇權交易中常見之「</w:t>
      </w:r>
      <w:r>
        <w:rPr>
          <w:rFonts w:ascii="Microsoft JhengHei" w:cs="Microsoft JhengHei" w:eastAsia="Microsoft JhengHei" w:hAnsi="Microsoft JhengHei"/>
          <w:b/>
          <w:bCs/>
          <w:sz w:val="21"/>
          <w:szCs w:val="21"/>
        </w:rPr>
        <w:t xml:space="preserve">Covered Call 輪動策略（Wheel Strategy）</w:t>
      </w:r>
      <w:r>
        <w:rPr>
          <w:rFonts w:ascii="Microsoft JhengHei" w:cs="Microsoft JhengHei" w:eastAsia="Microsoft JhengHei" w:hAnsi="Microsoft JhengHei"/>
          <w:sz w:val="21"/>
          <w:szCs w:val="21"/>
        </w:rPr>
        <w:t xml:space="preserve">」，並非本報告新增之風險，而是同一衍生性商品部位之</w:t>
      </w:r>
      <w:r>
        <w:rPr>
          <w:rFonts w:ascii="Microsoft JhengHei" w:cs="Microsoft JhengHei" w:eastAsia="Microsoft JhengHei" w:hAnsi="Microsoft JhengHei"/>
          <w:b/>
          <w:bCs/>
          <w:sz w:val="21"/>
          <w:szCs w:val="21"/>
        </w:rPr>
        <w:t xml:space="preserve">後續管理方式</w:t>
      </w:r>
      <w:r>
        <w:rPr>
          <w:rFonts w:ascii="Microsoft JhengHei" w:cs="Microsoft JhengHei" w:eastAsia="Microsoft JhengHei" w:hAnsi="Microsoft JhengHei"/>
          <w:sz w:val="21"/>
          <w:szCs w:val="21"/>
        </w:rPr>
        <w:t xml:space="preserve">，故獨立成節說明其損益動態與限制。</w:t>
      </w:r>
    </w:p>
    <w:p>
      <w:pPr>
        <w:pStyle w:val="Heading4"/>
        <w:spacing w:after="100" w:before="180"/>
      </w:pPr>
      <w:r>
        <w:rPr>
          <w:rFonts w:ascii="Microsoft JhengHei" w:cs="Microsoft JhengHei" w:eastAsia="Microsoft JhengHei" w:hAnsi="Microsoft JhengHei"/>
          <w:b/>
          <w:bCs/>
          <w:color w:val="44546A"/>
          <w:sz w:val="21"/>
          <w:szCs w:val="21"/>
        </w:rPr>
        <w:t xml:space="preserve">6.4.1 順利路徑範例：三週後價格回升至轉換價</w:t>
      </w:r>
    </w:p>
    <w:p>
      <w:pPr>
        <w:pBdr>
          <w:left w:val="single" w:color="1F3864" w:sz="18"/>
        </w:pBdr>
        <w:shd w:fill="F2F2F2" w:val="clear"/>
        <w:spacing w:after="200" w:before="120"/>
        <w:ind w:left="360"/>
      </w:pPr>
      <w:r>
        <w:rPr>
          <w:rFonts w:ascii="Microsoft JhengHei" w:cs="Microsoft JhengHei" w:eastAsia="Microsoft JhengHei" w:hAnsi="Microsoft JhengHei"/>
          <w:i/>
          <w:iCs/>
          <w:sz w:val="21"/>
          <w:szCs w:val="21"/>
        </w:rPr>
        <w:t xml:space="preserve">以下同樣為</w:t>
      </w:r>
      <w:r>
        <w:rPr>
          <w:rFonts w:ascii="Microsoft JhengHei" w:cs="Microsoft JhengHei" w:eastAsia="Microsoft JhengHei" w:hAnsi="Microsoft JhengHei"/>
          <w:b/>
          <w:bCs/>
          <w:i/>
          <w:iCs/>
          <w:sz w:val="21"/>
          <w:szCs w:val="21"/>
        </w:rPr>
        <w:t xml:space="preserve">示意性範例</w:t>
      </w:r>
      <w:r>
        <w:rPr>
          <w:rFonts w:ascii="Microsoft JhengHei" w:cs="Microsoft JhengHei" w:eastAsia="Microsoft JhengHei" w:hAnsi="Microsoft JhengHei"/>
          <w:i/>
          <w:iCs/>
          <w:sz w:val="21"/>
          <w:szCs w:val="21"/>
        </w:rPr>
        <w:t xml:space="preserve">，用以展示滾動掛單之損益動態，非市場預測。假設本金 $1,000,000，原始轉換價（行使價）統一設定為 </w:t>
      </w:r>
      <w:r>
        <w:rPr>
          <w:rFonts w:ascii="Microsoft JhengHei" w:cs="Microsoft JhengHei" w:eastAsia="Microsoft JhengHei" w:hAnsi="Microsoft JhengHei"/>
          <w:b/>
          <w:bCs/>
          <w:i/>
          <w:iCs/>
          <w:sz w:val="21"/>
          <w:szCs w:val="21"/>
        </w:rPr>
        <w:t xml:space="preserve">$55,900</w:t>
      </w:r>
      <w:r>
        <w:rPr>
          <w:rFonts w:ascii="Microsoft JhengHei" w:cs="Microsoft JhengHei" w:eastAsia="Microsoft JhengHei" w:hAnsi="Microsoft JhengHei"/>
          <w:i/>
          <w:iCs/>
          <w:sz w:val="21"/>
          <w:szCs w:val="21"/>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74"/>
      </w:tblGrid>
      <w:tr>
        <w:trPr>
          <w:tblHeader/>
        </w:trPr>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週期</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操作</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掛單時現貨價</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距轉換價之價外幅度</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示意年化</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本期權利金</w:t>
            </w:r>
          </w:p>
        </w:tc>
        <w:tc>
          <w:tcPr>
            <w:tcW w:type="dxa" w:w="116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結算價</w:t>
            </w:r>
          </w:p>
        </w:tc>
        <w:tc>
          <w:tcPr>
            <w:tcW w:type="dxa" w:w="1174"/>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結果</w:t>
            </w:r>
          </w:p>
        </w:tc>
      </w:tr>
      <w:tr>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第1週（低買）</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以 $1,000,000 USDT 申購「低買」，行使價 $55,900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$58,000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$7,671.23</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$53,000（跌破）</w:t>
            </w:r>
          </w:p>
        </w:tc>
        <w:tc>
          <w:tcPr>
            <w:tcW w:type="dxa" w:w="1174"/>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強制轉換為 </w:t>
            </w:r>
            <w:r>
              <w:rPr>
                <w:rFonts w:ascii="Microsoft JhengHei" w:cs="Microsoft JhengHei" w:eastAsia="Microsoft JhengHei" w:hAnsi="Microsoft JhengHei"/>
                <w:b/>
                <w:bCs/>
                <w:sz w:val="18"/>
                <w:szCs w:val="18"/>
              </w:rPr>
              <w:t xml:space="preserve">17.8891 BTC</w:t>
            </w:r>
            <w:r>
              <w:rPr>
                <w:rFonts w:ascii="Microsoft JhengHei" w:cs="Microsoft JhengHei" w:eastAsia="Microsoft JhengHei" w:hAnsi="Microsoft JhengHei"/>
                <w:sz w:val="18"/>
                <w:szCs w:val="18"/>
              </w:rPr>
              <w:t xml:space="preserve">（=1,000,000÷55,900）</w:t>
            </w:r>
          </w:p>
        </w:tc>
      </w:tr>
      <w:tr>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第2週（高賣，滾動）</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以持有之 17.8891 BTC 申購「高賣」，行使價</w:t>
            </w:r>
            <w:r>
              <w:rPr>
                <w:rFonts w:ascii="Microsoft JhengHei" w:cs="Microsoft JhengHei" w:eastAsia="Microsoft JhengHei" w:hAnsi="Microsoft JhengHei"/>
                <w:b/>
                <w:bCs/>
                <w:sz w:val="18"/>
                <w:szCs w:val="18"/>
              </w:rPr>
              <w:t xml:space="preserve">維持</w:t>
            </w:r>
            <w:r>
              <w:rPr>
                <w:rFonts w:ascii="Microsoft JhengHei" w:cs="Microsoft JhengHei" w:eastAsia="Microsoft JhengHei" w:hAnsi="Microsoft JhengHei"/>
                <w:sz w:val="18"/>
                <w:szCs w:val="18"/>
              </w:rPr>
              <w:t xml:space="preserve"> $55,900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$53,000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5.5%（價外）</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32%＊</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$5,822.71</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$54,000（未漲破）</w:t>
            </w:r>
          </w:p>
        </w:tc>
        <w:tc>
          <w:tcPr>
            <w:tcW w:type="dxa" w:w="1174"/>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未履約，續留 17.8891 BTC</w:t>
            </w:r>
          </w:p>
        </w:tc>
      </w:tr>
      <w:tr>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第3週（高賣，滾動）</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以持有之 17.8891 BTC 申購「高賣」，行使價</w:t>
            </w:r>
            <w:r>
              <w:rPr>
                <w:rFonts w:ascii="Microsoft JhengHei" w:cs="Microsoft JhengHei" w:eastAsia="Microsoft JhengHei" w:hAnsi="Microsoft JhengHei"/>
                <w:b/>
                <w:bCs/>
                <w:sz w:val="18"/>
                <w:szCs w:val="18"/>
              </w:rPr>
              <w:t xml:space="preserve">維持</w:t>
            </w:r>
            <w:r>
              <w:rPr>
                <w:rFonts w:ascii="Microsoft JhengHei" w:cs="Microsoft JhengHei" w:eastAsia="Microsoft JhengHei" w:hAnsi="Microsoft JhengHei"/>
                <w:sz w:val="18"/>
                <w:szCs w:val="18"/>
              </w:rPr>
              <w:t xml:space="preserve"> $55,900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$54,000</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3.5%（價外）</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38%＊</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$7,041.53</w:t>
            </w:r>
          </w:p>
        </w:tc>
        <w:tc>
          <w:tcPr>
            <w:tcW w:type="dxa" w:w="116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$56,500（漲破）</w:t>
            </w:r>
          </w:p>
        </w:tc>
        <w:tc>
          <w:tcPr>
            <w:tcW w:type="dxa" w:w="1174"/>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履約，依 $55,900 換回 </w:t>
            </w:r>
            <w:r>
              <w:rPr>
                <w:rFonts w:ascii="Microsoft JhengHei" w:cs="Microsoft JhengHei" w:eastAsia="Microsoft JhengHei" w:hAnsi="Microsoft JhengHei"/>
                <w:b/>
                <w:bCs/>
                <w:sz w:val="18"/>
                <w:szCs w:val="18"/>
              </w:rPr>
              <w:t xml:space="preserve">$1,000,000.00</w:t>
            </w:r>
            <w:r>
              <w:rPr>
                <w:rFonts w:ascii="Microsoft JhengHei" w:cs="Microsoft JhengHei" w:eastAsia="Microsoft JhengHei" w:hAnsi="Microsoft JhengHei"/>
                <w:sz w:val="18"/>
                <w:szCs w:val="18"/>
              </w:rPr>
              <w:t xml:space="preserve"> USDT</w:t>
            </w:r>
          </w:p>
        </w:tc>
      </w:tr>
    </w:tbl>
    <w:p>
      <w:pPr>
        <w:spacing w:after="160"/>
      </w:pPr>
    </w:p>
    <w:p>
      <w:pPr>
        <w:spacing w:after="160" w:line="300"/>
      </w:pPr>
      <w:r>
        <w:rPr>
          <w:rFonts w:ascii="Microsoft JhengHei" w:cs="Microsoft JhengHei" w:eastAsia="Microsoft JhengHei" w:hAnsi="Microsoft JhengHei"/>
          <w:sz w:val="21"/>
          <w:szCs w:val="21"/>
        </w:rPr>
        <w:t xml:space="preserve">＊示意年化隨「現貨價與固定行使價之乖離幅度」變動——此為 6.4.2 節之核心限制，詳見下方說明。</w:t>
      </w:r>
    </w:p>
    <w:p>
      <w:pPr>
        <w:spacing w:after="160" w:line="300"/>
      </w:pPr>
      <w:r>
        <w:rPr>
          <w:rFonts w:ascii="Microsoft JhengHei" w:cs="Microsoft JhengHei" w:eastAsia="Microsoft JhengHei" w:hAnsi="Microsoft JhengHei"/>
          <w:b/>
          <w:bCs/>
          <w:sz w:val="21"/>
          <w:szCs w:val="21"/>
        </w:rPr>
        <w:t xml:space="preserve">三週期累積結果：</w:t>
      </w:r>
      <w:r>
        <w:rPr>
          <w:rFonts w:ascii="Microsoft JhengHei" w:cs="Microsoft JhengHei" w:eastAsia="Microsoft JhengHei" w:hAnsi="Microsoft JhengHei"/>
          <w:sz w:val="21"/>
          <w:szCs w:val="21"/>
        </w:rPr>
        <w:t xml:space="preserve"> 本金恢復為 $1,000,000（依原轉換價換回，名目本金未減損）＋ 累積權利金 $7,671.23+$5,822.71+$7,041.53 = </w:t>
      </w:r>
      <w:r>
        <w:rPr>
          <w:rFonts w:ascii="Microsoft JhengHei" w:cs="Microsoft JhengHei" w:eastAsia="Microsoft JhengHei" w:hAnsi="Microsoft JhengHei"/>
          <w:b/>
          <w:bCs/>
          <w:sz w:val="21"/>
          <w:szCs w:val="21"/>
        </w:rPr>
        <w:t xml:space="preserve">$20,535.47</w:t>
      </w:r>
      <w:r>
        <w:rPr>
          <w:rFonts w:ascii="Microsoft JhengHei" w:cs="Microsoft JhengHei" w:eastAsia="Microsoft JhengHei" w:hAnsi="Microsoft JhengHei"/>
          <w:sz w:val="21"/>
          <w:szCs w:val="21"/>
        </w:rPr>
        <w:t xml:space="preserve">，總計 </w:t>
      </w:r>
      <w:r>
        <w:rPr>
          <w:rFonts w:ascii="Microsoft JhengHei" w:cs="Microsoft JhengHei" w:eastAsia="Microsoft JhengHei" w:hAnsi="Microsoft JhengHei"/>
          <w:b/>
          <w:bCs/>
          <w:sz w:val="21"/>
          <w:szCs w:val="21"/>
        </w:rPr>
        <w:t xml:space="preserve">$1,020,535.47</w:t>
      </w:r>
      <w:r>
        <w:rPr>
          <w:rFonts w:ascii="Microsoft JhengHei" w:cs="Microsoft JhengHei" w:eastAsia="Microsoft JhengHei" w:hAnsi="Microsoft JhengHei"/>
          <w:sz w:val="21"/>
          <w:szCs w:val="21"/>
        </w:rPr>
        <w:t xml:space="preserve">（三週報酬率 +2.05%，約當年化 +38%）。此例證實：</w:t>
      </w:r>
      <w:r>
        <w:rPr>
          <w:rFonts w:ascii="Microsoft JhengHei" w:cs="Microsoft JhengHei" w:eastAsia="Microsoft JhengHei" w:hAnsi="Microsoft JhengHei"/>
          <w:b/>
          <w:bCs/>
          <w:sz w:val="21"/>
          <w:szCs w:val="21"/>
        </w:rPr>
        <w:t xml:space="preserve">只要最終價格確實回升至原轉換價，「不實現帳面跌幅、持續滾動掛單」確實可將原本單一週期之帳面浮虧，轉換為持有期間之正報酬</w:t>
      </w:r>
      <w:r>
        <w:rPr>
          <w:rFonts w:ascii="Microsoft JhengHei" w:cs="Microsoft JhengHei" w:eastAsia="Microsoft JhengHei" w:hAnsi="Microsoft JhengHei"/>
          <w:sz w:val="21"/>
          <w:szCs w:val="21"/>
        </w:rPr>
        <w:t xml:space="preserve">，此為使用者所提策略之正確且有價值之洞察。</w:t>
      </w:r>
    </w:p>
    <w:p>
      <w:pPr>
        <w:pStyle w:val="Heading4"/>
        <w:spacing w:after="100" w:before="180"/>
      </w:pPr>
      <w:r>
        <w:rPr>
          <w:rFonts w:ascii="Microsoft JhengHei" w:cs="Microsoft JhengHei" w:eastAsia="Microsoft JhengHei" w:hAnsi="Microsoft JhengHei"/>
          <w:b/>
          <w:bCs/>
          <w:color w:val="44546A"/>
          <w:sz w:val="21"/>
          <w:szCs w:val="21"/>
        </w:rPr>
        <w:t xml:space="preserve">6.4.2 需要財務部審慎理解之三項限制（此策略「不會虧錢」之精確條件）</w:t>
      </w:r>
    </w:p>
    <w:p>
      <w:pPr>
        <w:spacing w:after="160" w:line="30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權利金隨價格乖離擴大而遞減，而非維持初始水準：</w:t>
      </w:r>
      <w:r>
        <w:rPr>
          <w:rFonts w:ascii="Microsoft JhengHei" w:cs="Microsoft JhengHei" w:eastAsia="Microsoft JhengHei" w:hAnsi="Microsoft JhengHei"/>
          <w:sz w:val="21"/>
          <w:szCs w:val="21"/>
        </w:rPr>
        <w:t xml:space="preserve"> 選擇權定價原則下，行使價與現貨價之距離（Strike Distance）越遠，履約機率越低，市場願意支付之權利金亦隨之下降。若價格持續下跌而遠離固定之 $55,900 行使價（例如跌至 $40,000，乖離幅度擴大至近 40%），該檔位所能取得之年化權利金通常會</w:t>
      </w:r>
      <w:r>
        <w:rPr>
          <w:rFonts w:ascii="Microsoft JhengHei" w:cs="Microsoft JhengHei" w:eastAsia="Microsoft JhengHei" w:hAnsi="Microsoft JhengHei"/>
          <w:b/>
          <w:bCs/>
          <w:sz w:val="21"/>
          <w:szCs w:val="21"/>
        </w:rPr>
        <w:t xml:space="preserve">顯著萎縮至個位數百分比</w:t>
      </w:r>
      <w:r>
        <w:rPr>
          <w:rFonts w:ascii="Microsoft JhengHei" w:cs="Microsoft JhengHei" w:eastAsia="Microsoft JhengHei" w:hAnsi="Microsoft JhengHei"/>
          <w:sz w:val="21"/>
          <w:szCs w:val="21"/>
        </w:rPr>
        <w:t xml:space="preserve">，而非維持第 1–3 週示範中之 30%+ 水準——</w:t>
      </w:r>
      <w:r>
        <w:rPr>
          <w:rFonts w:ascii="Microsoft JhengHei" w:cs="Microsoft JhengHei" w:eastAsia="Microsoft JhengHei" w:hAnsi="Microsoft JhengHei"/>
          <w:b/>
          <w:bCs/>
          <w:sz w:val="21"/>
          <w:szCs w:val="21"/>
        </w:rPr>
        <w:t xml:space="preserve">滾動策略之「以權利金彌補等待成本」效果會隨套牢深度加深而遞減</w:t>
      </w:r>
      <w:r>
        <w:rPr>
          <w:rFonts w:ascii="Microsoft JhengHei" w:cs="Microsoft JhengHei" w:eastAsia="Microsoft JhengHei" w:hAnsi="Microsoft JhengHei"/>
          <w:sz w:val="21"/>
          <w:szCs w:val="21"/>
        </w:rPr>
        <w:t xml:space="preserve">。</w:t>
      </w:r>
    </w:p>
    <w:p>
      <w:pPr>
        <w:spacing w:after="160" w:line="30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本金安全僅相對於「原轉換價」成立，且沒有時間保證：</w:t>
      </w:r>
      <w:r>
        <w:rPr>
          <w:rFonts w:ascii="Microsoft JhengHei" w:cs="Microsoft JhengHei" w:eastAsia="Microsoft JhengHei" w:hAnsi="Microsoft JhengHei"/>
          <w:sz w:val="21"/>
          <w:szCs w:val="21"/>
        </w:rPr>
        <w:t xml:space="preserve"> 「不會虧錢」之敘述，精確條件應為「</w:t>
      </w:r>
      <w:r>
        <w:rPr>
          <w:rFonts w:ascii="Microsoft JhengHei" w:cs="Microsoft JhengHei" w:eastAsia="Microsoft JhengHei" w:hAnsi="Microsoft JhengHei"/>
          <w:b/>
          <w:bCs/>
          <w:sz w:val="21"/>
          <w:szCs w:val="21"/>
        </w:rPr>
        <w:t xml:space="preserve">只要最終確實回升至原轉換價，且過程中未改用更低之行使價</w:t>
      </w:r>
      <w:r>
        <w:rPr>
          <w:rFonts w:ascii="Microsoft JhengHei" w:cs="Microsoft JhengHei" w:eastAsia="Microsoft JhengHei" w:hAnsi="Microsoft JhengHei"/>
          <w:sz w:val="21"/>
          <w:szCs w:val="21"/>
        </w:rPr>
        <w:t xml:space="preserve">」；價格回升所需之時間並無保證，可能是 3 週，也可能是數月甚至數年未能回升，資金在此期間</w:t>
      </w:r>
      <w:r>
        <w:rPr>
          <w:rFonts w:ascii="Microsoft JhengHei" w:cs="Microsoft JhengHei" w:eastAsia="Microsoft JhengHei" w:hAnsi="Microsoft JhengHei"/>
          <w:b/>
          <w:bCs/>
          <w:sz w:val="21"/>
          <w:szCs w:val="21"/>
        </w:rPr>
        <w:t xml:space="preserve">無法投入本報告第 3–5 章所述之其他生息工具</w:t>
      </w:r>
      <w:r>
        <w:rPr>
          <w:rFonts w:ascii="Microsoft JhengHei" w:cs="Microsoft JhengHei" w:eastAsia="Microsoft JhengHei" w:hAnsi="Microsoft JhengHei"/>
          <w:sz w:val="21"/>
          <w:szCs w:val="21"/>
        </w:rPr>
        <w:t xml:space="preserve">，構成實質之機會成本。</w:t>
      </w:r>
    </w:p>
    <w:p>
      <w:pPr>
        <w:spacing w:after="160" w:line="30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會計與財務報表上仍須認列未實現損益：</w:t>
      </w:r>
      <w:r>
        <w:rPr>
          <w:rFonts w:ascii="Microsoft JhengHei" w:cs="Microsoft JhengHei" w:eastAsia="Microsoft JhengHei" w:hAnsi="Microsoft JhengHei"/>
          <w:sz w:val="21"/>
          <w:szCs w:val="21"/>
        </w:rPr>
        <w:t xml:space="preserve"> 依第 8 章所述，雙幣理財部位應以公允價值列入損益（FVTPL）；在價格尚未回升至原轉換價之任何一個報表結算日，所持有之 BTC 部位</w:t>
      </w:r>
      <w:r>
        <w:rPr>
          <w:rFonts w:ascii="Microsoft JhengHei" w:cs="Microsoft JhengHei" w:eastAsia="Microsoft JhengHei" w:hAnsi="Microsoft JhengHei"/>
          <w:b/>
          <w:bCs/>
          <w:sz w:val="21"/>
          <w:szCs w:val="21"/>
        </w:rPr>
        <w:t xml:space="preserve">仍須依當時市價評價，並認列未實現跌價損失</w:t>
      </w:r>
      <w:r>
        <w:rPr>
          <w:rFonts w:ascii="Microsoft JhengHei" w:cs="Microsoft JhengHei" w:eastAsia="Microsoft JhengHei" w:hAnsi="Microsoft JhengHei"/>
          <w:sz w:val="21"/>
          <w:szCs w:val="21"/>
        </w:rPr>
        <w:t xml:space="preserve">，即使企業主觀上「不打算實現虧損」。以下方 6.4.3 節之對照情境為例，此一未實現損失金額可能相當可觀，財務部於審閱本策略時應將其視為</w:t>
      </w:r>
      <w:r>
        <w:rPr>
          <w:rFonts w:ascii="Microsoft JhengHei" w:cs="Microsoft JhengHei" w:eastAsia="Microsoft JhengHei" w:hAnsi="Microsoft JhengHei"/>
          <w:b/>
          <w:bCs/>
          <w:sz w:val="21"/>
          <w:szCs w:val="21"/>
        </w:rPr>
        <w:t xml:space="preserve">流動性與帳面評價風險</w:t>
      </w:r>
      <w:r>
        <w:rPr>
          <w:rFonts w:ascii="Microsoft JhengHei" w:cs="Microsoft JhengHei" w:eastAsia="Microsoft JhengHei" w:hAnsi="Microsoft JhengHei"/>
          <w:sz w:val="21"/>
          <w:szCs w:val="21"/>
        </w:rPr>
        <w:t xml:space="preserve">，而非「零風險」之收益增強手段。</w:t>
      </w:r>
    </w:p>
    <w:p>
      <w:pPr>
        <w:pStyle w:val="Heading4"/>
        <w:spacing w:after="100" w:before="180"/>
      </w:pPr>
      <w:r>
        <w:rPr>
          <w:rFonts w:ascii="Microsoft JhengHei" w:cs="Microsoft JhengHei" w:eastAsia="Microsoft JhengHei" w:hAnsi="Microsoft JhengHei"/>
          <w:b/>
          <w:bCs/>
          <w:color w:val="44546A"/>
          <w:sz w:val="21"/>
          <w:szCs w:val="21"/>
        </w:rPr>
        <w:t xml:space="preserve">6.4.3 對照情境：價格長期未回升至轉換價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項目</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數值</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1 週轉換後持有 BTC 數量</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17.8891 BTC</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假設後續 10 週價格持續走低並盤整於 $40,000，</w:t>
            </w:r>
            <w:r>
              <w:rPr>
                <w:rFonts w:ascii="Microsoft JhengHei" w:cs="Microsoft JhengHei" w:eastAsia="Microsoft JhengHei" w:hAnsi="Microsoft JhengHei"/>
                <w:b/>
                <w:bCs/>
                <w:sz w:val="18"/>
                <w:szCs w:val="18"/>
              </w:rPr>
              <w:t xml:space="preserve">未曾</w:t>
            </w:r>
            <w:r>
              <w:rPr>
                <w:rFonts w:ascii="Microsoft JhengHei" w:cs="Microsoft JhengHei" w:eastAsia="Microsoft JhengHei" w:hAnsi="Microsoft JhengHei"/>
                <w:sz w:val="18"/>
                <w:szCs w:val="18"/>
              </w:rPr>
              <w:t xml:space="preserve">回升至 $55,900</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 週內以遞減年化（示意約 32% → 5%）持續滾動「高賣」之累積權利金（示意）</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約 $9,000–$12,000</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10 週末 BTC 部位市值（17.8891 × $40,000）</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$715,564</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相較原始本金名目值之未實現跌價損失</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約 -$284,436（-28.4%）</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財務報表上之處理</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每一報表結算日均須依市價認列未實現損失，直至實際轉換回 USDT 之日為止</w:t>
            </w:r>
          </w:p>
        </w:tc>
      </w:tr>
    </w:tbl>
    <w:p>
      <w:pPr>
        <w:spacing w:after="160"/>
      </w:pPr>
    </w:p>
    <w:p>
      <w:pPr>
        <w:spacing w:after="160" w:line="300"/>
      </w:pPr>
      <w:r>
        <w:rPr>
          <w:rFonts w:ascii="Microsoft JhengHei" w:cs="Microsoft JhengHei" w:eastAsia="Microsoft JhengHei" w:hAnsi="Microsoft JhengHei"/>
          <w:b/>
          <w:bCs/>
          <w:sz w:val="21"/>
          <w:szCs w:val="21"/>
        </w:rPr>
        <w:t xml:space="preserve">結論：</w:t>
      </w:r>
      <w:r>
        <w:rPr>
          <w:rFonts w:ascii="Microsoft JhengHei" w:cs="Microsoft JhengHei" w:eastAsia="Microsoft JhengHei" w:hAnsi="Microsoft JhengHei"/>
          <w:sz w:val="21"/>
          <w:szCs w:val="21"/>
        </w:rPr>
        <w:t xml:space="preserve"> 使用者提出之滾動掛單策略，在「價格最終確實回升至原轉換價」之路徑下（如 6.4.1 節），確實能將帳面浮虧轉為正報酬，是對第 6.3 節單一週期試算之有效補充；惟此策略之風險並未消失，而是由「單一週期之已實現虧損風險」，轉換為「</w:t>
      </w:r>
      <w:r>
        <w:rPr>
          <w:rFonts w:ascii="Microsoft JhengHei" w:cs="Microsoft JhengHei" w:eastAsia="Microsoft JhengHei" w:hAnsi="Microsoft JhengHei"/>
          <w:b/>
          <w:bCs/>
          <w:sz w:val="21"/>
          <w:szCs w:val="21"/>
        </w:rPr>
        <w:t xml:space="preserve">權利金隨套牢加深而遞減之收益衰減風險</w:t>
      </w:r>
      <w:r>
        <w:rPr>
          <w:rFonts w:ascii="Microsoft JhengHei" w:cs="Microsoft JhengHei" w:eastAsia="Microsoft JhengHei" w:hAnsi="Microsoft JhengHei"/>
          <w:sz w:val="21"/>
          <w:szCs w:val="21"/>
        </w:rPr>
        <w:t xml:space="preserve">」與「</w:t>
      </w:r>
      <w:r>
        <w:rPr>
          <w:rFonts w:ascii="Microsoft JhengHei" w:cs="Microsoft JhengHei" w:eastAsia="Microsoft JhengHei" w:hAnsi="Microsoft JhengHei"/>
          <w:b/>
          <w:bCs/>
          <w:sz w:val="21"/>
          <w:szCs w:val="21"/>
        </w:rPr>
        <w:t xml:space="preserve">未實現跌價損失之持續期間與會計認列風險</w:t>
      </w:r>
      <w:r>
        <w:rPr>
          <w:rFonts w:ascii="Microsoft JhengHei" w:cs="Microsoft JhengHei" w:eastAsia="Microsoft JhengHei" w:hAnsi="Microsoft JhengHei"/>
          <w:sz w:val="21"/>
          <w:szCs w:val="21"/>
        </w:rPr>
        <w:t xml:space="preserve">」——兩種路徑（6.4.1 與 6.4.3）於申購當下均無法預先判斷會實際發生何者。</w:t>
      </w:r>
    </w:p>
    <w:p>
      <w:pPr>
        <w:pStyle w:val="Heading3"/>
        <w:spacing w:after="120" w:before="220"/>
      </w:pPr>
      <w:r>
        <w:rPr>
          <w:rFonts w:ascii="Microsoft JhengHei" w:cs="Microsoft JhengHei" w:eastAsia="Microsoft JhengHei" w:hAnsi="Microsoft JhengHei"/>
          <w:b/>
          <w:bCs/>
          <w:color w:val="2E5395"/>
          <w:sz w:val="22"/>
          <w:szCs w:val="22"/>
        </w:rPr>
        <w:t xml:space="preserve">6.5 全年蒙地卡羅模擬：兩種操作規則之年化報酬分布</w:t>
      </w:r>
    </w:p>
    <w:p>
      <w:pPr>
        <w:spacing w:after="160" w:line="300"/>
      </w:pPr>
      <w:r>
        <w:rPr>
          <w:rFonts w:ascii="Microsoft JhengHei" w:cs="Microsoft JhengHei" w:eastAsia="Microsoft JhengHei" w:hAnsi="Microsoft JhengHei"/>
          <w:sz w:val="21"/>
          <w:szCs w:val="21"/>
        </w:rPr>
        <w:t xml:space="preserve">因應資產管理部之要求，本節針對雙幣理財建立</w:t>
      </w:r>
      <w:r>
        <w:rPr>
          <w:rFonts w:ascii="Microsoft JhengHei" w:cs="Microsoft JhengHei" w:eastAsia="Microsoft JhengHei" w:hAnsi="Microsoft JhengHei"/>
          <w:b/>
          <w:bCs/>
          <w:sz w:val="21"/>
          <w:szCs w:val="21"/>
        </w:rPr>
        <w:t xml:space="preserve">全年期（52 個交易週期）之蒙地卡羅模擬</w:t>
      </w:r>
      <w:r>
        <w:rPr>
          <w:rFonts w:ascii="Microsoft JhengHei" w:cs="Microsoft JhengHei" w:eastAsia="Microsoft JhengHei" w:hAnsi="Microsoft JhengHei"/>
          <w:sz w:val="21"/>
          <w:szCs w:val="21"/>
        </w:rPr>
        <w:t xml:space="preserve">，量化比較使用者提出之兩種操作規則，取代僅憑單一情境之直覺判斷：</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規則 1「最高收益」：</w:t>
      </w:r>
      <w:r>
        <w:rPr>
          <w:rFonts w:ascii="Microsoft JhengHei" w:cs="Microsoft JhengHei" w:eastAsia="Microsoft JhengHei" w:hAnsi="Microsoft JhengHei"/>
          <w:sz w:val="21"/>
          <w:szCs w:val="21"/>
        </w:rPr>
        <w:t xml:space="preserve"> 每期均選擇</w:t>
      </w:r>
      <w:r>
        <w:rPr>
          <w:rFonts w:ascii="Microsoft JhengHei" w:cs="Microsoft JhengHei" w:eastAsia="Microsoft JhengHei" w:hAnsi="Microsoft JhengHei"/>
          <w:b/>
          <w:bCs/>
          <w:sz w:val="21"/>
          <w:szCs w:val="21"/>
        </w:rPr>
        <w:t xml:space="preserve">距離現貨最近之行使價</w:t>
      </w:r>
      <w:r>
        <w:rPr>
          <w:rFonts w:ascii="Microsoft JhengHei" w:cs="Microsoft JhengHei" w:eastAsia="Microsoft JhengHei" w:hAnsi="Microsoft JhengHei"/>
          <w:sz w:val="21"/>
          <w:szCs w:val="21"/>
        </w:rPr>
        <w:t xml:space="preserve">（價外幅度 ≈0%，即近似 ATM），轉換機率最高、年化收益亦最高；一旦轉換，即依第 6.4 節之滾動掛單機制，以</w:t>
      </w:r>
      <w:r>
        <w:rPr>
          <w:rFonts w:ascii="Microsoft JhengHei" w:cs="Microsoft JhengHei" w:eastAsia="Microsoft JhengHei" w:hAnsi="Microsoft JhengHei"/>
          <w:b/>
          <w:bCs/>
          <w:sz w:val="21"/>
          <w:szCs w:val="21"/>
        </w:rPr>
        <w:t xml:space="preserve">原轉換價</w:t>
      </w:r>
      <w:r>
        <w:rPr>
          <w:rFonts w:ascii="Microsoft JhengHei" w:cs="Microsoft JhengHei" w:eastAsia="Microsoft JhengHei" w:hAnsi="Microsoft JhengHei"/>
          <w:sz w:val="21"/>
          <w:szCs w:val="21"/>
        </w:rPr>
        <w:t xml:space="preserve">持續掛單，年化收益隨「現貨價與轉換價之乖離幅度擴大」而遞減。</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規則 2「不被轉換」：</w:t>
      </w:r>
      <w:r>
        <w:rPr>
          <w:rFonts w:ascii="Microsoft JhengHei" w:cs="Microsoft JhengHei" w:eastAsia="Microsoft JhengHei" w:hAnsi="Microsoft JhengHei"/>
          <w:sz w:val="21"/>
          <w:szCs w:val="21"/>
        </w:rPr>
        <w:t xml:space="preserve"> 每期選擇距現貨 </w:t>
      </w:r>
      <w:r>
        <w:rPr>
          <w:rFonts w:ascii="Microsoft JhengHei" w:cs="Microsoft JhengHei" w:eastAsia="Microsoft JhengHei" w:hAnsi="Microsoft JhengHei"/>
          <w:b/>
          <w:bCs/>
          <w:sz w:val="21"/>
          <w:szCs w:val="21"/>
        </w:rPr>
        <w:t xml:space="preserve">-1.5%~-3%</w:t>
      </w:r>
      <w:r>
        <w:rPr>
          <w:rFonts w:ascii="Microsoft JhengHei" w:cs="Microsoft JhengHei" w:eastAsia="Microsoft JhengHei" w:hAnsi="Microsoft JhengHei"/>
          <w:sz w:val="21"/>
          <w:szCs w:val="21"/>
        </w:rPr>
        <w:t xml:space="preserve">（價外）之行使價，年化收益落於 </w:t>
      </w:r>
      <w:r>
        <w:rPr>
          <w:rFonts w:ascii="Microsoft JhengHei" w:cs="Microsoft JhengHei" w:eastAsia="Microsoft JhengHei" w:hAnsi="Microsoft JhengHei"/>
          <w:b/>
          <w:bCs/>
          <w:sz w:val="21"/>
          <w:szCs w:val="21"/>
        </w:rPr>
        <w:t xml:space="preserve">20%–50%</w:t>
      </w:r>
      <w:r>
        <w:rPr>
          <w:rFonts w:ascii="Microsoft JhengHei" w:cs="Microsoft JhengHei" w:eastAsia="Microsoft JhengHei" w:hAnsi="Microsoft JhengHei"/>
          <w:sz w:val="21"/>
          <w:szCs w:val="21"/>
        </w:rPr>
        <w:t xml:space="preserve">；若期間內仍發生轉換（現貨波動幅度超出緩衝區間），轉換後同樣適用與規則 1 相同之滾動掛單機制。</w:t>
      </w:r>
    </w:p>
    <w:p>
      <w:pPr>
        <w:pStyle w:val="Heading4"/>
        <w:spacing w:after="100" w:before="180"/>
      </w:pPr>
      <w:r>
        <w:rPr>
          <w:rFonts w:ascii="Microsoft JhengHei" w:cs="Microsoft JhengHei" w:eastAsia="Microsoft JhengHei" w:hAnsi="Microsoft JhengHei"/>
          <w:b/>
          <w:bCs/>
          <w:color w:val="44546A"/>
          <w:sz w:val="21"/>
          <w:szCs w:val="21"/>
        </w:rPr>
        <w:t xml:space="preserve">6.5.1 模型假設（均經即時市場數據校準，檢索日：2026 年 9 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假設項目</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數值</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依據</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BTC 現貨價</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$77,000</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2026 年 9 月初市場報價</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年化波動率（基準情境）</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55%</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Deribit BTC 波動率指數（DVOL）官方揭露之「正常區間」50%–65% 之中位數</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年化波動率（敏感度情境）</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36%（低波動）／80%（高波動）</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DVOL 歷史觀察區間：2026 年 5 月低點 36.11%；2026 年 2 月恐慌事件曾逼近 100%</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天期（每期）</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 天（全年約 52 期）</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官方揭露雙幣理財天期主要落於 7 天以內（另提供 2 天等更短天期）</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價格路徑模型</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幾何布朗運動（GBM），</w:t>
            </w:r>
            <w:r>
              <w:rPr>
                <w:rFonts w:ascii="Microsoft JhengHei" w:cs="Microsoft JhengHei" w:eastAsia="Microsoft JhengHei" w:hAnsi="Microsoft JhengHei"/>
                <w:b/>
                <w:bCs/>
                <w:sz w:val="18"/>
                <w:szCs w:val="18"/>
              </w:rPr>
              <w:t xml:space="preserve">基準情境採零漂移</w:t>
            </w:r>
            <w:r>
              <w:rPr>
                <w:rFonts w:ascii="Microsoft JhengHei" w:cs="Microsoft JhengHei" w:eastAsia="Microsoft JhengHei" w:hAnsi="Microsoft JhengHei"/>
                <w:sz w:val="18"/>
                <w:szCs w:val="18"/>
              </w:rPr>
              <w:t xml:space="preserve">（不預設 BTC 未來漲跌方向）</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維持本報告客觀中立原則，不對市場方向下判斷；另附 ±30%/年漂移之方向性敏感度</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權利金衰減公式</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rate(乖離%) = 100% × exp(−0.4666 × 乖離%)</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反推校準：使公式在使用者指定之 -1.5%~-3% 價外區間內，產生 20%–50% 之年化收益（例如乖離 1.5% → 49.7%；乖離 2.25% → 35.0%；乖離 3% → 24.7%），gap=0%（ATM）時之上緣校準為 100%（與 Binance 官方揭露上限 138% 同一量級）</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模擬路徑數</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20,000 條（基準情境）／8,000 條（各敏感度情境）</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蒙地卡羅法，確保統計結果穩定收斂</w:t>
            </w:r>
          </w:p>
        </w:tc>
      </w:tr>
    </w:tbl>
    <w:p>
      <w:pPr>
        <w:spacing w:after="160"/>
      </w:pPr>
    </w:p>
    <w:p>
      <w:pPr>
        <w:pStyle w:val="Heading4"/>
        <w:spacing w:after="100" w:before="180"/>
      </w:pPr>
      <w:r>
        <w:rPr>
          <w:rFonts w:ascii="Microsoft JhengHei" w:cs="Microsoft JhengHei" w:eastAsia="Microsoft JhengHei" w:hAnsi="Microsoft JhengHei"/>
          <w:b/>
          <w:bCs/>
          <w:color w:val="44546A"/>
          <w:sz w:val="21"/>
          <w:szCs w:val="21"/>
        </w:rPr>
        <w:t xml:space="preserve">6.5.2 基準情境結果（$1,000,000 本金，年化報酬率分布）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統計量</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規則1：最高收益（ATM）</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規則2：不被轉換（OTM緩衝）</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平均年化報酬</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-20.22%</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-24.10%</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中位數年化報酬</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-22.87%</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-24.77%</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5 百分位（P5，較差路徑）</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-66.58%</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-66.30%</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25 百分位（P25）</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-44.36%</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-45.33%</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75 百分位（P75）</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+1.87%</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-2.57%</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第 95 百分位（P95，較佳路徑）</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+33.93%</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+19.17%</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全年虧損機率（低於本金）</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73.4%</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77.5%</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平均每年轉換次數</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3.60 次</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3.68 次</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平均「卡住」週期數</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45.0／52 週（86.6%）</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42.7／52 週（82.2%）</w:t>
            </w:r>
          </w:p>
        </w:tc>
      </w:tr>
    </w:tbl>
    <w:p>
      <w:pPr>
        <w:spacing w:after="160"/>
      </w:pPr>
    </w:p>
    <w:p>
      <w:pPr>
        <w:spacing w:after="160" w:line="300"/>
      </w:pPr>
      <w:r>
        <w:rPr>
          <w:rFonts w:ascii="Microsoft JhengHei" w:cs="Microsoft JhengHei" w:eastAsia="Microsoft JhengHei" w:hAnsi="Microsoft JhengHei"/>
          <w:b/>
          <w:bCs/>
          <w:sz w:val="21"/>
          <w:szCs w:val="21"/>
        </w:rPr>
        <w:t xml:space="preserve">核心發現：</w:t>
      </w:r>
      <w:r>
        <w:rPr>
          <w:rFonts w:ascii="Microsoft JhengHei" w:cs="Microsoft JhengHei" w:eastAsia="Microsoft JhengHei" w:hAnsi="Microsoft JhengHei"/>
          <w:sz w:val="21"/>
          <w:szCs w:val="21"/>
        </w:rPr>
        <w:t xml:space="preserve"> 在</w:t>
      </w:r>
      <w:r>
        <w:rPr>
          <w:rFonts w:ascii="Microsoft JhengHei" w:cs="Microsoft JhengHei" w:eastAsia="Microsoft JhengHei" w:hAnsi="Microsoft JhengHei"/>
          <w:b/>
          <w:bCs/>
          <w:sz w:val="21"/>
          <w:szCs w:val="21"/>
        </w:rPr>
        <w:t xml:space="preserve">零方向性假設</w:t>
      </w:r>
      <w:r>
        <w:rPr>
          <w:rFonts w:ascii="Microsoft JhengHei" w:cs="Microsoft JhengHei" w:eastAsia="Microsoft JhengHei" w:hAnsi="Microsoft JhengHei"/>
          <w:sz w:val="21"/>
          <w:szCs w:val="21"/>
        </w:rPr>
        <w:t xml:space="preserve">（不預設 BTC 全年漲跌）之基準情境下，</w:t>
      </w:r>
      <w:r>
        <w:rPr>
          <w:rFonts w:ascii="Microsoft JhengHei" w:cs="Microsoft JhengHei" w:eastAsia="Microsoft JhengHei" w:hAnsi="Microsoft JhengHei"/>
          <w:b/>
          <w:bCs/>
          <w:sz w:val="21"/>
          <w:szCs w:val="21"/>
        </w:rPr>
        <w:t xml:space="preserve">兩種規則之平均與中位數年化報酬均為負值</w:t>
      </w:r>
      <w:r>
        <w:rPr>
          <w:rFonts w:ascii="Microsoft JhengHei" w:cs="Microsoft JhengHei" w:eastAsia="Microsoft JhengHei" w:hAnsi="Microsoft JhengHei"/>
          <w:sz w:val="21"/>
          <w:szCs w:val="21"/>
        </w:rPr>
        <w:t xml:space="preserve">，且全年虧損機率均超過 70%。規則 1（最高收益／ATM）雖然平均表現略優於規則 2，且右尾（P95 = +33.93%）優於規則 2（P95 = +19.17%），但左尾風險（P5）與規則 2 相近，顯示</w:t>
      </w:r>
      <w:r>
        <w:rPr>
          <w:rFonts w:ascii="Microsoft JhengHei" w:cs="Microsoft JhengHei" w:eastAsia="Microsoft JhengHei" w:hAnsi="Microsoft JhengHei"/>
          <w:b/>
          <w:bCs/>
          <w:sz w:val="21"/>
          <w:szCs w:val="21"/>
        </w:rPr>
        <w:t xml:space="preserve">「選擇最容易被轉換的行使價以追求最高年化」，在全年期反覆操作下，其較高之單期權利金並不足以補償「頻繁陷入套牢、且套牢期間權利金隨乖離擴大而遞減」之結構性拖累</w:t>
      </w:r>
      <w:r>
        <w:rPr>
          <w:rFonts w:ascii="Microsoft JhengHei" w:cs="Microsoft JhengHei" w:eastAsia="Microsoft JhengHei" w:hAnsi="Microsoft JhengHei"/>
          <w:sz w:val="21"/>
          <w:szCs w:val="21"/>
        </w:rPr>
        <w:t xml:space="preserve">；規則 2 雖然轉換機率設計上較低，但一旦轉換，套牢之機率與規則 1 相近（因為兩者卡住後適用同一套滾動邏輯），且其單期權利金原本就較低，全年下來反而</w:t>
      </w:r>
      <w:r>
        <w:rPr>
          <w:rFonts w:ascii="Microsoft JhengHei" w:cs="Microsoft JhengHei" w:eastAsia="Microsoft JhengHei" w:hAnsi="Microsoft JhengHei"/>
          <w:b/>
          <w:bCs/>
          <w:sz w:val="21"/>
          <w:szCs w:val="21"/>
        </w:rPr>
        <w:t xml:space="preserve">平均表現略遜於規則 1</w:t>
      </w:r>
      <w:r>
        <w:rPr>
          <w:rFonts w:ascii="Microsoft JhengHei" w:cs="Microsoft JhengHei" w:eastAsia="Microsoft JhengHei" w:hAnsi="Microsoft JhengHei"/>
          <w:sz w:val="21"/>
          <w:szCs w:val="21"/>
        </w:rPr>
        <w:t xml:space="preserve">。</w:t>
      </w:r>
    </w:p>
    <w:p>
      <w:pPr>
        <w:pStyle w:val="Heading4"/>
        <w:spacing w:after="100" w:before="180"/>
      </w:pPr>
      <w:r>
        <w:rPr>
          <w:rFonts w:ascii="Microsoft JhengHei" w:cs="Microsoft JhengHei" w:eastAsia="Microsoft JhengHei" w:hAnsi="Microsoft JhengHei"/>
          <w:b/>
          <w:bCs/>
          <w:color w:val="44546A"/>
          <w:sz w:val="21"/>
          <w:szCs w:val="21"/>
        </w:rPr>
        <w:t xml:space="preserve">6.5.3 敏感度分析</w:t>
      </w:r>
    </w:p>
    <w:p>
      <w:pPr>
        <w:spacing w:after="160" w:line="300"/>
      </w:pPr>
      <w:r>
        <w:rPr>
          <w:rFonts w:ascii="Microsoft JhengHei" w:cs="Microsoft JhengHei" w:eastAsia="Microsoft JhengHei" w:hAnsi="Microsoft JhengHei"/>
          <w:b/>
          <w:bCs/>
          <w:sz w:val="21"/>
          <w:szCs w:val="21"/>
        </w:rPr>
        <w:t xml:space="preserve">依波動率情境（漂移固定為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波動率情境</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規則1 平均／中位數年化</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規則1 虧損機率</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規則2 平均／中位數年化</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規則2 虧損機率</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低波動 36%</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-5.3% ／ -7.6%</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59.4%</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-8.7% ／ -9.0%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61.6%</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基準 55%</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 ／ -22.9%</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73.4%</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-24.1% ／ -24.8%</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77.5%</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高波動 80%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-36.6% ／ -41.9%</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83.1%</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-40.0% ／ -43.4%</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87.5%</w:t>
            </w:r>
          </w:p>
        </w:tc>
      </w:tr>
    </w:tbl>
    <w:p>
      <w:pPr>
        <w:spacing w:after="160"/>
      </w:pPr>
    </w:p>
    <w:p>
      <w:pPr>
        <w:spacing w:after="160" w:line="300"/>
      </w:pPr>
      <w:r>
        <w:rPr>
          <w:rFonts w:ascii="Microsoft JhengHei" w:cs="Microsoft JhengHei" w:eastAsia="Microsoft JhengHei" w:hAnsi="Microsoft JhengHei"/>
          <w:b/>
          <w:bCs/>
          <w:sz w:val="21"/>
          <w:szCs w:val="21"/>
        </w:rPr>
        <w:t xml:space="preserve">依市場方向偏見情境（波動率固定為基準 55%）：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方向性假設</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規則1 平均／中位數年化</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規則1 虧損機率</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規則2 平均／中位數年化</w:t>
            </w:r>
          </w:p>
        </w:tc>
        <w:tc>
          <w:tcPr>
            <w:tcW w:type="dxa" w:w="187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規則2 虧損機率</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多頭偏向 +30%/年</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 ／ -4.7%</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54.7%</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-11.6% ／ -9.5%</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61.9%</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基準（零漂移）</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 ／ -22.9%</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73.4%</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-24.1% ／ -24.8%</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77.5%</w:t>
            </w:r>
          </w:p>
        </w:tc>
      </w:tr>
      <w:tr>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空頭偏向 -30%/年</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-36.0% ／ -40.8%</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87.2%</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-37.8% ／ -41.0%</w:t>
            </w:r>
          </w:p>
        </w:tc>
        <w:tc>
          <w:tcPr>
            <w:tcW w:type="dxa" w:w="187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89.6%</w:t>
            </w:r>
          </w:p>
        </w:tc>
      </w:tr>
    </w:tbl>
    <w:p>
      <w:pPr>
        <w:spacing w:after="160"/>
      </w:pPr>
    </w:p>
    <w:p>
      <w:pPr>
        <w:spacing w:after="160" w:line="300"/>
      </w:pPr>
      <w:r>
        <w:rPr>
          <w:rFonts w:ascii="Microsoft JhengHei" w:cs="Microsoft JhengHei" w:eastAsia="Microsoft JhengHei" w:hAnsi="Microsoft JhengHei"/>
          <w:b/>
          <w:bCs/>
          <w:sz w:val="21"/>
          <w:szCs w:val="21"/>
        </w:rPr>
        <w:t xml:space="preserve">觀察：</w:t>
      </w:r>
      <w:r>
        <w:rPr>
          <w:rFonts w:ascii="Microsoft JhengHei" w:cs="Microsoft JhengHei" w:eastAsia="Microsoft JhengHei" w:hAnsi="Microsoft JhengHei"/>
          <w:sz w:val="21"/>
          <w:szCs w:val="21"/>
        </w:rPr>
        <w:t xml:space="preserve"> 即便疊加</w:t>
      </w:r>
      <w:r>
        <w:rPr>
          <w:rFonts w:ascii="Microsoft JhengHei" w:cs="Microsoft JhengHei" w:eastAsia="Microsoft JhengHei" w:hAnsi="Microsoft JhengHei"/>
          <w:b/>
          <w:bCs/>
          <w:sz w:val="21"/>
          <w:szCs w:val="21"/>
        </w:rPr>
        <w:t xml:space="preserve">明確之多頭方向性假設</w:t>
      </w:r>
      <w:r>
        <w:rPr>
          <w:rFonts w:ascii="Microsoft JhengHei" w:cs="Microsoft JhengHei" w:eastAsia="Microsoft JhengHei" w:hAnsi="Microsoft JhengHei"/>
          <w:sz w:val="21"/>
          <w:szCs w:val="21"/>
        </w:rPr>
        <w:t xml:space="preserve">（全年 BTC 上漲 30%），兩規則之平均年化報酬</w:t>
      </w:r>
      <w:r>
        <w:rPr>
          <w:rFonts w:ascii="Microsoft JhengHei" w:cs="Microsoft JhengHei" w:eastAsia="Microsoft JhengHei" w:hAnsi="Microsoft JhengHei"/>
          <w:b/>
          <w:bCs/>
          <w:sz w:val="21"/>
          <w:szCs w:val="21"/>
        </w:rPr>
        <w:t xml:space="preserve">仍為負值</w:t>
      </w:r>
      <w:r>
        <w:rPr>
          <w:rFonts w:ascii="Microsoft JhengHei" w:cs="Microsoft JhengHei" w:eastAsia="Microsoft JhengHei" w:hAnsi="Microsoft JhengHei"/>
          <w:sz w:val="21"/>
          <w:szCs w:val="21"/>
        </w:rPr>
        <w:t xml:space="preserve">，僅虧損機率與虧損幅度縮小。此點凸顯此類「反覆出售選擇權收取權利金」策略之結構性限制：由於「高賣」結構本質上</w:t>
      </w:r>
      <w:r>
        <w:rPr>
          <w:rFonts w:ascii="Microsoft JhengHei" w:cs="Microsoft JhengHei" w:eastAsia="Microsoft JhengHei" w:hAnsi="Microsoft JhengHei"/>
          <w:b/>
          <w:bCs/>
          <w:sz w:val="21"/>
          <w:szCs w:val="21"/>
        </w:rPr>
        <w:t xml:space="preserve">封頂上檔收益於行使價</w:t>
      </w:r>
      <w:r>
        <w:rPr>
          <w:rFonts w:ascii="Microsoft JhengHei" w:cs="Microsoft JhengHei" w:eastAsia="Microsoft JhengHei" w:hAnsi="Microsoft JhengHei"/>
          <w:sz w:val="21"/>
          <w:szCs w:val="21"/>
        </w:rPr>
        <w:t xml:space="preserve">，即便標的資產長期上漲，策略亦僅能透過「更快脫離套牢、更多次以全額權利金收取」間接受惠，而非直接參與漲幅。</w:t>
      </w:r>
    </w:p>
    <w:p>
      <w:pPr>
        <w:pStyle w:val="Heading4"/>
        <w:spacing w:after="100" w:before="180"/>
      </w:pPr>
      <w:r>
        <w:rPr>
          <w:rFonts w:ascii="Microsoft JhengHei" w:cs="Microsoft JhengHei" w:eastAsia="Microsoft JhengHei" w:hAnsi="Microsoft JhengHei"/>
          <w:b/>
          <w:bCs/>
          <w:color w:val="44546A"/>
          <w:sz w:val="21"/>
          <w:szCs w:val="21"/>
        </w:rPr>
        <w:t xml:space="preserve">6.5.4 為什麼「年化收益最高」的規則，全年期未必是較優選擇？</w:t>
      </w:r>
    </w:p>
    <w:p>
      <w:pPr>
        <w:spacing w:after="160" w:line="300"/>
      </w:pPr>
      <w:r>
        <w:rPr>
          <w:rFonts w:ascii="Microsoft JhengHei" w:cs="Microsoft JhengHei" w:eastAsia="Microsoft JhengHei" w:hAnsi="Microsoft JhengHei"/>
          <w:sz w:val="21"/>
          <w:szCs w:val="21"/>
        </w:rPr>
        <w:t xml:space="preserve">此模擬結果之經濟直覺，與選擇權定價理論一致：</w:t>
      </w:r>
      <w:r>
        <w:rPr>
          <w:rFonts w:ascii="Microsoft JhengHei" w:cs="Microsoft JhengHei" w:eastAsia="Microsoft JhengHei" w:hAnsi="Microsoft JhengHei"/>
          <w:b/>
          <w:bCs/>
          <w:sz w:val="21"/>
          <w:szCs w:val="21"/>
        </w:rPr>
        <w:t xml:space="preserve">出售選擇權收取權利金，本質上是承接波動率風險並收取對應之風險補償</w:t>
      </w:r>
      <w:r>
        <w:rPr>
          <w:rFonts w:ascii="Microsoft JhengHei" w:cs="Microsoft JhengHei" w:eastAsia="Microsoft JhengHei" w:hAnsi="Microsoft JhengHei"/>
          <w:sz w:val="21"/>
          <w:szCs w:val="21"/>
        </w:rPr>
        <w:t xml:space="preserve">；當市場願意支付之權利金（本模型中之 rate）未能完全反映標的實際波動所帶來之潛在損失時，長期反覆執行「出售選擇權」策略之期望值即可能為負或趨近於零——此為結構性現象，並非平台刻意設計之陷阱，而是選擇權賣方於統計上長期須承擔之「負偏態（Negative Skew）」風險特徵：</w:t>
      </w:r>
      <w:r>
        <w:rPr>
          <w:rFonts w:ascii="Microsoft JhengHei" w:cs="Microsoft JhengHei" w:eastAsia="Microsoft JhengHei" w:hAnsi="Microsoft JhengHei"/>
          <w:b/>
          <w:bCs/>
          <w:sz w:val="21"/>
          <w:szCs w:val="21"/>
        </w:rPr>
        <w:t xml:space="preserve">多數週期收取穩定小額權利金，少數週期承擔較大套牢與機會成本</w:t>
      </w:r>
      <w:r>
        <w:rPr>
          <w:rFonts w:ascii="Microsoft JhengHei" w:cs="Microsoft JhengHei" w:eastAsia="Microsoft JhengHei" w:hAnsi="Microsoft JhengHei"/>
          <w:sz w:val="21"/>
          <w:szCs w:val="21"/>
        </w:rPr>
        <w:t xml:space="preserve">。此發現與第 6.4 節「順利路徑範例」（三週期內順利獲利 +2.05%）並不矛盾——該範例呈現的是</w:t>
      </w:r>
      <w:r>
        <w:rPr>
          <w:rFonts w:ascii="Microsoft JhengHei" w:cs="Microsoft JhengHei" w:eastAsia="Microsoft JhengHei" w:hAnsi="Microsoft JhengHei"/>
          <w:b/>
          <w:bCs/>
          <w:sz w:val="21"/>
          <w:szCs w:val="21"/>
        </w:rPr>
        <w:t xml:space="preserve">單次幸運路徑</w:t>
      </w:r>
      <w:r>
        <w:rPr>
          <w:rFonts w:ascii="Microsoft JhengHei" w:cs="Microsoft JhengHei" w:eastAsia="Microsoft JhengHei" w:hAnsi="Microsoft JhengHei"/>
          <w:sz w:val="21"/>
          <w:szCs w:val="21"/>
        </w:rPr>
        <w:t xml:space="preserve">，而本節之蒙地卡羅模擬呈現的是</w:t>
      </w:r>
      <w:r>
        <w:rPr>
          <w:rFonts w:ascii="Microsoft JhengHei" w:cs="Microsoft JhengHei" w:eastAsia="Microsoft JhengHei" w:hAnsi="Microsoft JhengHei"/>
          <w:b/>
          <w:bCs/>
          <w:sz w:val="21"/>
          <w:szCs w:val="21"/>
        </w:rPr>
        <w:t xml:space="preserve">全年反覆執行同一規則後，所有可能路徑之機率分布</w:t>
      </w:r>
      <w:r>
        <w:rPr>
          <w:rFonts w:ascii="Microsoft JhengHei" w:cs="Microsoft JhengHei" w:eastAsia="Microsoft JhengHei" w:hAnsi="Microsoft JhengHei"/>
          <w:sz w:val="21"/>
          <w:szCs w:val="21"/>
        </w:rPr>
        <w:t xml:space="preserve">，兩者觀察角度不同，財務部審查時應以本節之全年分布（而非單一順利範例）作為決策之主要依據。</w:t>
      </w:r>
    </w:p>
    <w:p>
      <w:pPr>
        <w:pStyle w:val="Heading4"/>
        <w:spacing w:after="100" w:before="180"/>
      </w:pPr>
      <w:r>
        <w:rPr>
          <w:rFonts w:ascii="Microsoft JhengHei" w:cs="Microsoft JhengHei" w:eastAsia="Microsoft JhengHei" w:hAnsi="Microsoft JhengHei"/>
          <w:b/>
          <w:bCs/>
          <w:color w:val="44546A"/>
          <w:sz w:val="21"/>
          <w:szCs w:val="21"/>
        </w:rPr>
        <w:t xml:space="preserve">6.5.5 模型限制與使用限制</w:t>
      </w:r>
    </w:p>
    <w:p>
      <w:pPr>
        <w:spacing w:after="160" w:line="30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權利金公式為反推校準之參數化假設，非官方定價公式：</w:t>
      </w:r>
      <w:r>
        <w:rPr>
          <w:rFonts w:ascii="Microsoft JhengHei" w:cs="Microsoft JhengHei" w:eastAsia="Microsoft JhengHei" w:hAnsi="Microsoft JhengHei"/>
          <w:sz w:val="21"/>
          <w:szCs w:val="21"/>
        </w:rPr>
        <w:t xml:space="preserve"> OKX／Binance 並未公開揭露其選擇權定價模型之確切公式，本模型之衰減公式僅依據使用者提供之錨點（-1.5%~-3% 對應 20%–50%）與官方揭露之年化區間上限（138%）反推校準，實際平台報價可能因即時訂單簿深度、做市商報價而有落差。</w:t>
      </w:r>
    </w:p>
    <w:p>
      <w:pPr>
        <w:spacing w:after="160" w:line="30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零漂移為刻意之中立假設，非市場預測：</w:t>
      </w:r>
      <w:r>
        <w:rPr>
          <w:rFonts w:ascii="Microsoft JhengHei" w:cs="Microsoft JhengHei" w:eastAsia="Microsoft JhengHei" w:hAnsi="Microsoft JhengHei"/>
          <w:sz w:val="21"/>
          <w:szCs w:val="21"/>
        </w:rPr>
        <w:t xml:space="preserve"> 若財務部或交易員對 BTC 全年走勢具備明確之方向性看法，應參考 6.5.3 節之漂移敏感度，而非直接採用零漂移基準情境之數字。</w:t>
      </w:r>
    </w:p>
    <w:p>
      <w:pPr>
        <w:spacing w:after="160" w:line="30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模擬採「機械式、規則化」操作，未反映人工裁量：</w:t>
      </w:r>
      <w:r>
        <w:rPr>
          <w:rFonts w:ascii="Microsoft JhengHei" w:cs="Microsoft JhengHei" w:eastAsia="Microsoft JhengHei" w:hAnsi="Microsoft JhengHei"/>
          <w:sz w:val="21"/>
          <w:szCs w:val="21"/>
        </w:rPr>
        <w:t xml:space="preserve"> 實際交易人員於部位套牢後，可能選擇不再繼續滾動（例如改為長期持有現貨、或透過 OKX「提前贖回」機制主動退出），本模擬之兩種規則均假設</w:t>
      </w:r>
      <w:r>
        <w:rPr>
          <w:rFonts w:ascii="Microsoft JhengHei" w:cs="Microsoft JhengHei" w:eastAsia="Microsoft JhengHei" w:hAnsi="Microsoft JhengHei"/>
          <w:b/>
          <w:bCs/>
          <w:sz w:val="21"/>
          <w:szCs w:val="21"/>
        </w:rPr>
        <w:t xml:space="preserve">持續機械化滾動至年底</w:t>
      </w:r>
      <w:r>
        <w:rPr>
          <w:rFonts w:ascii="Microsoft JhengHei" w:cs="Microsoft JhengHei" w:eastAsia="Microsoft JhengHei" w:hAnsi="Microsoft JhengHei"/>
          <w:sz w:val="21"/>
          <w:szCs w:val="21"/>
        </w:rPr>
        <w:t xml:space="preserve">，此為刻意之保守簡化，用以量化「規則化執行」之基準表現，而非模擬最適人工操作下之上限。</w:t>
      </w:r>
    </w:p>
    <w:p>
      <w:pPr>
        <w:spacing w:after="160" w:line="30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b/>
          <w:bCs/>
          <w:sz w:val="21"/>
          <w:szCs w:val="21"/>
        </w:rPr>
        <w:t xml:space="preserve">實際波動率是否等於隱含波動率具高度不確定性：</w:t>
      </w:r>
      <w:r>
        <w:rPr>
          <w:rFonts w:ascii="Microsoft JhengHei" w:cs="Microsoft JhengHei" w:eastAsia="Microsoft JhengHei" w:hAnsi="Microsoft JhengHei"/>
          <w:sz w:val="21"/>
          <w:szCs w:val="21"/>
        </w:rPr>
        <w:t xml:space="preserve"> 若 BTC 實際已實現波動率顯著低於報價當時之隱含波動率，出售選擇權方通常獲益；反之則相反。本模型以 DVOL（隱含波動率指數）作為已實現波動率之代理變數，兩者於現實中可能出現落差。</w:t>
      </w:r>
    </w:p>
    <w:p>
      <w:pPr>
        <w:pStyle w:val="Heading3"/>
        <w:spacing w:after="120" w:before="220"/>
      </w:pPr>
      <w:r>
        <w:rPr>
          <w:rFonts w:ascii="Microsoft JhengHei" w:cs="Microsoft JhengHei" w:eastAsia="Microsoft JhengHei" w:hAnsi="Microsoft JhengHei"/>
          <w:b/>
          <w:bCs/>
          <w:color w:val="2E5395"/>
          <w:sz w:val="22"/>
          <w:szCs w:val="22"/>
        </w:rPr>
        <w:t xml:space="preserve">6.6 財務運用場景</w:t>
      </w:r>
    </w:p>
    <w:p>
      <w:pPr>
        <w:spacing w:after="160" w:line="30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設定目標價逢低分批建倉：</w:t>
      </w:r>
      <w:r>
        <w:rPr>
          <w:rFonts w:ascii="Microsoft JhengHei" w:cs="Microsoft JhengHei" w:eastAsia="Microsoft JhengHei" w:hAnsi="Microsoft JhengHei"/>
          <w:sz w:val="21"/>
          <w:szCs w:val="21"/>
        </w:rPr>
        <w:t xml:space="preserve"> 若公司財務策略本即規劃以特定價位分批累積 BTC 現貨儲備，可透過「低買」結構於等待建倉價位期間同時賺取權利金，等同於「限價單 + 額外收益」之複合工具。</w:t>
      </w:r>
    </w:p>
    <w:p>
      <w:pPr>
        <w:spacing w:after="160" w:line="30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震盪市掛深度價外（OTM 10%+）收益增強：</w:t>
      </w:r>
      <w:r>
        <w:rPr>
          <w:rFonts w:ascii="Microsoft JhengHei" w:cs="Microsoft JhengHei" w:eastAsia="Microsoft JhengHei" w:hAnsi="Microsoft JhengHei"/>
          <w:sz w:val="21"/>
          <w:szCs w:val="21"/>
        </w:rPr>
        <w:t xml:space="preserve"> 於預期標的價格窄幅震盪之市場環境，可將行使價設定於顯著價外（例如 -10% 以上），大幅降低轉換機率，以較低年化換取較高之本金安全邊際。</w:t>
      </w:r>
    </w:p>
    <w:p>
      <w:pPr>
        <w:spacing w:after="160" w:line="30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轉換後之滾動掛單（見 6.4 節）：</w:t>
      </w:r>
      <w:r>
        <w:rPr>
          <w:rFonts w:ascii="Microsoft JhengHei" w:cs="Microsoft JhengHei" w:eastAsia="Microsoft JhengHei" w:hAnsi="Microsoft JhengHei"/>
          <w:sz w:val="21"/>
          <w:szCs w:val="21"/>
        </w:rPr>
        <w:t xml:space="preserve"> 作為單一週期觸價後之後續管理選項，惟應同步將 6.4.2 節之三項限制納入內部 SOP 與風險揭露，避免第一線交易人員以「不會虧錢」之簡化說法向財務部或風控委員會報告部位狀態。</w:t>
      </w:r>
    </w:p>
    <w:p>
      <w:pPr>
        <w:pStyle w:val="Heading2"/>
        <w:spacing w:after="140" w:before="300"/>
      </w:pPr>
      <w:r>
        <w:rPr>
          <w:rFonts w:ascii="Microsoft JhengHei" w:cs="Microsoft JhengHei" w:eastAsia="Microsoft JhengHei" w:hAnsi="Microsoft JhengHei"/>
          <w:b/>
          <w:bCs/>
          <w:color w:val="1F3864"/>
          <w:sz w:val="25"/>
          <w:szCs w:val="25"/>
        </w:rPr>
        <w:t xml:space="preserve">7. Binance 雙幣投資（Dual Investment）深度剖析</w:t>
      </w:r>
    </w:p>
    <w:p>
      <w:pPr>
        <w:pStyle w:val="Heading3"/>
        <w:spacing w:after="120" w:before="220"/>
      </w:pPr>
      <w:r>
        <w:rPr>
          <w:rFonts w:ascii="Microsoft JhengHei" w:cs="Microsoft JhengHei" w:eastAsia="Microsoft JhengHei" w:hAnsi="Microsoft JhengHei"/>
          <w:b/>
          <w:bCs/>
          <w:color w:val="2E5395"/>
          <w:sz w:val="22"/>
          <w:szCs w:val="22"/>
        </w:rPr>
        <w:t xml:space="preserve">7.1 產品架構與 OKX 之異同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比較維度</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Binance 雙幣投資</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OKX 雙幣贏</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產品期限</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官方公開資訊顯示天期自 1 天至數週不等，可依市場行情動態上架</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天期（Term）同樣為計息日至到期日之天數，用戶或系統依市場條件設定</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標的資產豐富度</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涵蓋 BTC、ETH 及多組主流交易對</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官方揭露涵蓋 BTC、ETH、USDT 三種計價幣別，六種投資策略組合</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交割時間點</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依產品條款於結算日固定時點交割</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2025 年 4 月起調整為每日 UTC+8 16:30 進行結算</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特色功能：自動複投（Auto-Compound）</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提供 Auto-Compound 功能，用戶可選擇「基礎方案（Basic Plan）」或「進階方案（Advanced Plan）」，系統於結算日依「是否觸及目標價」自動決定平倉或以新條件再訂閱，</w:t>
            </w:r>
            <w:r>
              <w:rPr>
                <w:rFonts w:ascii="Microsoft JhengHei" w:cs="Microsoft JhengHei" w:eastAsia="Microsoft JhengHei" w:hAnsi="Microsoft JhengHei"/>
                <w:b/>
                <w:bCs/>
                <w:sz w:val="18"/>
                <w:szCs w:val="18"/>
              </w:rPr>
              <w:t xml:space="preserve">惟此功能亦意味著本金可能連續多期暴露於選擇權履約風險，須留意連續期間之累積曝險</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另提供「提前贖回（Early Redemption）」機制，用戶可於到期前主動平倉（惟通常須犧牲部分已累積權利金或支付提前贖回成本）</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7.2 收益與損益特性：官方揭露年化區間</w:t>
      </w:r>
    </w:p>
    <w:p>
      <w:pPr>
        <w:spacing w:after="160" w:line="300"/>
      </w:pPr>
      <w:r>
        <w:rPr>
          <w:rFonts w:ascii="Microsoft JhengHei" w:cs="Microsoft JhengHei" w:eastAsia="Microsoft JhengHei" w:hAnsi="Microsoft JhengHei"/>
          <w:sz w:val="21"/>
          <w:szCs w:val="21"/>
        </w:rPr>
        <w:t xml:space="preserve">依 Binance 官方公告與歷史活動頁面：</w:t>
      </w:r>
      <w:r>
        <w:rPr>
          <w:rFonts w:ascii="Microsoft JhengHei" w:cs="Microsoft JhengHei" w:eastAsia="Microsoft JhengHei" w:hAnsi="Microsoft JhengHei"/>
          <w:b/>
          <w:bCs/>
          <w:sz w:val="21"/>
          <w:szCs w:val="21"/>
        </w:rPr>
        <w:t xml:space="preserve">Dual Investment 存款貨幣年化報酬區間約為 4% 至 138%</w:t>
      </w:r>
      <w:r>
        <w:rPr>
          <w:rFonts w:ascii="Microsoft JhengHei" w:cs="Microsoft JhengHei" w:eastAsia="Microsoft JhengHei" w:hAnsi="Microsoft JhengHei"/>
          <w:sz w:val="21"/>
          <w:szCs w:val="21"/>
        </w:rPr>
        <w:t xml:space="preserve">，部分特定高波動性商品之歷史公告年化甚至達 </w:t>
      </w:r>
      <w:r>
        <w:rPr>
          <w:rFonts w:ascii="Microsoft JhengHei" w:cs="Microsoft JhengHei" w:eastAsia="Microsoft JhengHei" w:hAnsi="Microsoft JhengHei"/>
          <w:b/>
          <w:bCs/>
          <w:sz w:val="21"/>
          <w:szCs w:val="21"/>
        </w:rPr>
        <w:t xml:space="preserve">175%</w:t>
      </w:r>
      <w:r>
        <w:rPr>
          <w:rFonts w:ascii="Microsoft JhengHei" w:cs="Microsoft JhengHei" w:eastAsia="Microsoft JhengHei" w:hAnsi="Microsoft JhengHei"/>
          <w:sz w:val="21"/>
          <w:szCs w:val="21"/>
        </w:rPr>
        <w:t xml:space="preserve">。此區間之寬度直接反映不同「行使價距離（Strike Distance）」與「天期」組合下，市場隱含波動率定價之巨大差異——</w:t>
      </w:r>
      <w:r>
        <w:rPr>
          <w:rFonts w:ascii="Microsoft JhengHei" w:cs="Microsoft JhengHei" w:eastAsia="Microsoft JhengHei" w:hAnsi="Microsoft JhengHei"/>
          <w:b/>
          <w:bCs/>
          <w:sz w:val="21"/>
          <w:szCs w:val="21"/>
        </w:rPr>
        <w:t xml:space="preserve">行使價越接近現貨（低 Strike Distance）、天期越短，年化報酬率通常越高，但轉換機率亦同步提高</w:t>
      </w:r>
      <w:r>
        <w:rPr>
          <w:rFonts w:ascii="Microsoft JhengHei" w:cs="Microsoft JhengHei" w:eastAsia="Microsoft JhengHei" w:hAnsi="Microsoft JhengHei"/>
          <w:sz w:val="21"/>
          <w:szCs w:val="21"/>
        </w:rPr>
        <w:t xml:space="preserve">，與 OKX 之定價邏輯一致。</w:t>
      </w:r>
    </w:p>
    <w:p>
      <w:pPr>
        <w:pStyle w:val="Heading3"/>
        <w:spacing w:after="120" w:before="220"/>
      </w:pPr>
      <w:r>
        <w:rPr>
          <w:rFonts w:ascii="Microsoft JhengHei" w:cs="Microsoft JhengHei" w:eastAsia="Microsoft JhengHei" w:hAnsi="Microsoft JhengHei"/>
          <w:b/>
          <w:bCs/>
          <w:color w:val="2E5395"/>
          <w:sz w:val="22"/>
          <w:szCs w:val="22"/>
        </w:rPr>
        <w:t xml:space="preserve">7.3 百萬資金情境損益試算（示意性範例）</w:t>
      </w:r>
    </w:p>
    <w:p>
      <w:pPr>
        <w:spacing w:after="160" w:line="300"/>
      </w:pPr>
      <w:r>
        <w:rPr>
          <w:rFonts w:ascii="Microsoft JhengHei" w:cs="Microsoft JhengHei" w:eastAsia="Microsoft JhengHei" w:hAnsi="Microsoft JhengHei"/>
          <w:sz w:val="21"/>
          <w:szCs w:val="21"/>
        </w:rPr>
        <w:t xml:space="preserve">沿用第 6 章相同之損益試算方法論（本金 $1,000,000、行使價價外 5%、天期 7 天、示意年化 45%），Binance 與 OKX 雙幣理財於相同行使價距與天期參數下，</w:t>
      </w:r>
      <w:r>
        <w:rPr>
          <w:rFonts w:ascii="Microsoft JhengHei" w:cs="Microsoft JhengHei" w:eastAsia="Microsoft JhengHei" w:hAnsi="Microsoft JhengHei"/>
          <w:b/>
          <w:bCs/>
          <w:sz w:val="21"/>
          <w:szCs w:val="21"/>
        </w:rPr>
        <w:t xml:space="preserve">理論損益結構完全一致</w:t>
      </w:r>
      <w:r>
        <w:rPr>
          <w:rFonts w:ascii="Microsoft JhengHei" w:cs="Microsoft JhengHei" w:eastAsia="Microsoft JhengHei" w:hAnsi="Microsoft JhengHei"/>
          <w:sz w:val="21"/>
          <w:szCs w:val="21"/>
        </w:rPr>
        <w:t xml:space="preserve">（同為出售選擇權之權利金收取模式），實際年化報價差異主要來自兩平台當下之訂單簿深度與做市商報價差異，屬於</w:t>
      </w:r>
      <w:r>
        <w:rPr>
          <w:rFonts w:ascii="Microsoft JhengHei" w:cs="Microsoft JhengHei" w:eastAsia="Microsoft JhengHei" w:hAnsi="Microsoft JhengHei"/>
          <w:b/>
          <w:bCs/>
          <w:sz w:val="21"/>
          <w:szCs w:val="21"/>
        </w:rPr>
        <w:t xml:space="preserve">執行價格層面之微小落差</w:t>
      </w:r>
      <w:r>
        <w:rPr>
          <w:rFonts w:ascii="Microsoft JhengHei" w:cs="Microsoft JhengHei" w:eastAsia="Microsoft JhengHei" w:hAnsi="Microsoft JhengHei"/>
          <w:sz w:val="21"/>
          <w:szCs w:val="21"/>
        </w:rPr>
        <w:t xml:space="preserve">，而非底層金融工程邏輯之差異。</w:t>
      </w:r>
    </w:p>
    <w:p>
      <w:pPr>
        <w:pStyle w:val="Heading3"/>
        <w:spacing w:after="120" w:before="220"/>
      </w:pPr>
      <w:r>
        <w:rPr>
          <w:rFonts w:ascii="Microsoft JhengHei" w:cs="Microsoft JhengHei" w:eastAsia="Microsoft JhengHei" w:hAnsi="Microsoft JhengHei"/>
          <w:b/>
          <w:bCs/>
          <w:color w:val="2E5395"/>
          <w:sz w:val="22"/>
          <w:szCs w:val="22"/>
        </w:rPr>
        <w:t xml:space="preserve">7.4 財務運用場景</w:t>
      </w:r>
    </w:p>
    <w:p>
      <w:pPr>
        <w:spacing w:after="160" w:line="30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高賣獲利了結：</w:t>
      </w:r>
      <w:r>
        <w:rPr>
          <w:rFonts w:ascii="Microsoft JhengHei" w:cs="Microsoft JhengHei" w:eastAsia="Microsoft JhengHei" w:hAnsi="Microsoft JhengHei"/>
          <w:sz w:val="21"/>
          <w:szCs w:val="21"/>
        </w:rPr>
        <w:t xml:space="preserve"> 若公司資產負債表已持有 BTC/ETH 等加密貨幣部位，且財務策略設定特定價位進行部分獲利了結，可透過「高賣」結構於等待目標賣出價位期間同時賺取權利金。</w:t>
      </w:r>
    </w:p>
    <w:p>
      <w:pPr>
        <w:spacing w:after="160" w:line="30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低買策略性積累代幣資產：</w:t>
      </w:r>
      <w:r>
        <w:rPr>
          <w:rFonts w:ascii="Microsoft JhengHei" w:cs="Microsoft JhengHei" w:eastAsia="Microsoft JhengHei" w:hAnsi="Microsoft JhengHei"/>
          <w:sz w:val="21"/>
          <w:szCs w:val="21"/>
        </w:rPr>
        <w:t xml:space="preserve"> 搭配 Auto-Compound 功能，可將「逢低承接」策略系統化、規則化執行，惟財務部應留意 Auto-Compound 機制下之</w:t>
      </w:r>
      <w:r>
        <w:rPr>
          <w:rFonts w:ascii="Microsoft JhengHei" w:cs="Microsoft JhengHei" w:eastAsia="Microsoft JhengHei" w:hAnsi="Microsoft JhengHei"/>
          <w:b/>
          <w:bCs/>
          <w:sz w:val="21"/>
          <w:szCs w:val="21"/>
        </w:rPr>
        <w:t xml:space="preserve">連續期間累積曝險</w:t>
      </w:r>
      <w:r>
        <w:rPr>
          <w:rFonts w:ascii="Microsoft JhengHei" w:cs="Microsoft JhengHei" w:eastAsia="Microsoft JhengHei" w:hAnsi="Microsoft JhengHei"/>
          <w:sz w:val="21"/>
          <w:szCs w:val="21"/>
        </w:rPr>
        <w:t xml:space="preserve">，避免於單邊持續下跌行情中被迫連續多期以不利價格承接貶值資產。</w:t>
      </w:r>
    </w:p>
    <w:p>
      <w:pPr>
        <w:spacing w:after="160" w:line="30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轉換後之滾動掛單：</w:t>
      </w:r>
      <w:r>
        <w:rPr>
          <w:rFonts w:ascii="Microsoft JhengHei" w:cs="Microsoft JhengHei" w:eastAsia="Microsoft JhengHei" w:hAnsi="Microsoft JhengHei"/>
          <w:sz w:val="21"/>
          <w:szCs w:val="21"/>
        </w:rPr>
        <w:t xml:space="preserve"> 第 6.4 節針對 OKX 所述之「轉換後固定原行使價滾動掛單」策略，其金融工程邏輯與限制（權利金隨套牢加深而遞減、未實現損失之會計認列）於 Binance 雙幣投資完全適用；Binance 之 Auto-Compound「基礎方案」實質上即為此策略之</w:t>
      </w:r>
      <w:r>
        <w:rPr>
          <w:rFonts w:ascii="Microsoft JhengHei" w:cs="Microsoft JhengHei" w:eastAsia="Microsoft JhengHei" w:hAnsi="Microsoft JhengHei"/>
          <w:b/>
          <w:bCs/>
          <w:sz w:val="21"/>
          <w:szCs w:val="21"/>
        </w:rPr>
        <w:t xml:space="preserve">平台自動化版本</w:t>
      </w:r>
      <w:r>
        <w:rPr>
          <w:rFonts w:ascii="Microsoft JhengHei" w:cs="Microsoft JhengHei" w:eastAsia="Microsoft JhengHei" w:hAnsi="Microsoft JhengHei"/>
          <w:sz w:val="21"/>
          <w:szCs w:val="21"/>
        </w:rPr>
        <w:t xml:space="preserve">，財務部審查時應一併適用 6.4.2 節之三項限制。</w:t>
      </w:r>
    </w:p>
    <w:p>
      <w:pPr>
        <w:spacing w:after="160" w:line="30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b/>
          <w:bCs/>
          <w:sz w:val="21"/>
          <w:szCs w:val="21"/>
        </w:rPr>
        <w:t xml:space="preserve">全年蒙地卡羅模擬結果同樣適用：</w:t>
      </w:r>
      <w:r>
        <w:rPr>
          <w:rFonts w:ascii="Microsoft JhengHei" w:cs="Microsoft JhengHei" w:eastAsia="Microsoft JhengHei" w:hAnsi="Microsoft JhengHei"/>
          <w:sz w:val="21"/>
          <w:szCs w:val="21"/>
        </w:rPr>
        <w:t xml:space="preserve"> 第 6.5 節之全年期模擬（規則1「最高收益」與規則2「不被轉換」）係基於選擇權出售之通用金融工程邏輯建立，與計價幣別或平台無關，其「兩種規則之平均年化報酬於基準情境下均為負值」之核心發現，對 Binance 雙幣投資（含 Auto-Compound 自動再訂閱模式）同樣成立。</w:t>
      </w:r>
    </w:p>
    <w:p>
      <w:pPr>
        <w:pStyle w:val="Heading2"/>
        <w:spacing w:after="140" w:before="300"/>
      </w:pPr>
      <w:r>
        <w:rPr>
          <w:rFonts w:ascii="Microsoft JhengHei" w:cs="Microsoft JhengHei" w:eastAsia="Microsoft JhengHei" w:hAnsi="Microsoft JhengHei"/>
          <w:b/>
          <w:bCs/>
          <w:color w:val="1F3864"/>
          <w:sz w:val="25"/>
          <w:szCs w:val="25"/>
        </w:rPr>
        <w:t xml:space="preserve">8. 財務部專題：會計處理與外部審計（IFRS / Big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比較維度</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Bitfinex USD 放貸</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OKX / Binance USDT 活期理財</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OKX / Binance 雙幣理財</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建議會計科目</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現金及約當現金 / 短期金融資產</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虛擬資產（Digital Asset）存貨或無形資產，部分準則下列為金融資產</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嵌入式衍生工具（Embedded Derivative），建議以公允價值列入損益（FVTPL）</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計價貨幣風險</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無（美元法幣）</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有（USDT 儲備金與脫錨風險）</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有（計價幣別 + 選擇權標的資產雙重波動）</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期末公允價值評價模型</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不需複雜評價（面額計價，僅需認列應計利息）</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需依資產負債表日市價評價</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需採用選擇權定價模型（如 Black-Scholes 或二項式模型）進行公允價值重評價</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減損測試</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不適用（僅需評估交易對手信用減損）</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適用，需定期執行虛擬資產減損測試</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適用於嵌入式衍生工具之公允價值變動，需拆解主合約與衍生工具分別評價</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外部審計（Big 4）函證難度</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中等——離岸交易所函證程序需逐案協調，惟資產性質單純</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中等偏難——需同時函證本金餘額與階梯利率適用明細</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高難度——需另外取得選擇權合約條款、行使價、結算機制之第三方佐證文件，函證範本市場尚未標準化</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合規成本（相對排序）</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低</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w:t>
            </w:r>
          </w:p>
        </w:tc>
      </w:tr>
    </w:tbl>
    <w:p>
      <w:pPr>
        <w:spacing w:after="160"/>
      </w:pPr>
    </w:p>
    <w:p>
      <w:pPr>
        <w:pStyle w:val="Heading2"/>
        <w:spacing w:after="140" w:before="300"/>
      </w:pPr>
      <w:r>
        <w:rPr>
          <w:rFonts w:ascii="Microsoft JhengHei" w:cs="Microsoft JhengHei" w:eastAsia="Microsoft JhengHei" w:hAnsi="Microsoft JhengHei"/>
          <w:b/>
          <w:bCs/>
          <w:color w:val="1F3864"/>
          <w:sz w:val="25"/>
          <w:szCs w:val="25"/>
        </w:rPr>
        <w:t xml:space="preserve">9. 五大策略綜合決策矩陣（Comprehensive Comparison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60"/>
      </w:tblGrid>
      <w:tr>
        <w:trPr>
          <w:tblHeader/>
        </w:trPr>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指標</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Bitfinex USD 放貸</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OKX 活期理財</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Binance 活期理財</w:t>
            </w:r>
          </w:p>
        </w:tc>
        <w:tc>
          <w:tcPr>
            <w:tcW w:type="dxa" w:w="155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OKX 雙幣贏</w:t>
            </w:r>
          </w:p>
        </w:tc>
        <w:tc>
          <w:tcPr>
            <w:tcW w:type="dxa" w:w="1560"/>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Binance 雙幣投資</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標的資產</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美元法幣</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USDT</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USDT</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USDT/BTC/ETH</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USDT/BTC/ETH</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收益本質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利息收入</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利息收入（階梯稀釋）</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利息收入（階梯稀釋）</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選擇權權利金</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選擇權權利金</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機構百萬資金真實 APY（示意）</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4.25%–17.0%+（基準 10.29%）</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約 1.70%–4.25%（基準 2.98%）</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約 1.50%</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名目 4%–138%（範例 45%），惟受行使價觸及與否影響實際結果</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官方揭露 4%–138%（歷史高點 175%）</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本金保障機制</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不受市場方向影響，僅承擔交易對手信用風險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名目本金穩定，承擔平台表內信用曝險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名目本金穩定，承擔平台表內信用曝險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本金可能依行使價強制轉換為標的資產</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本金可能依行使價強制轉換為標的資產</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Delta / 市場方向風險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無</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低（僅脫錨風險）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低（僅脫錨風險）</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有（方向性曝險）</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有（方向性曝險）</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流動性召回週期</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天期內鎖定（可階梯管理，2–120 天彈性）</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即時 / 近即時</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即時 / 近即時</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鎖定至結算日（OKX 支援提前贖回，惟有成本）</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鎖定至結算日（Auto-Compound 下可能連續多期）</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單一交易對手集中度</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依單一平台曝險上限管理（10%–15%）</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依緩衝池額度上限管理</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依緩衝池額度上限管理</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依單一平台曝險上限與 OTM 緩衝門檻管理</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依單一平台曝險上限與 OTM 緩衝門檻管理</w:t>
            </w:r>
          </w:p>
        </w:tc>
      </w:tr>
      <w:tr>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會計處理複雜度</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低</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中</w:t>
            </w:r>
          </w:p>
        </w:tc>
        <w:tc>
          <w:tcPr>
            <w:tcW w:type="dxa" w:w="155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w:t>
            </w:r>
          </w:p>
        </w:tc>
        <w:tc>
          <w:tcPr>
            <w:tcW w:type="dxa" w:w="1560"/>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高</w:t>
            </w:r>
          </w:p>
        </w:tc>
      </w:tr>
    </w:tbl>
    <w:p>
      <w:pPr>
        <w:spacing w:after="160"/>
      </w:pPr>
    </w:p>
    <w:p>
      <w:pPr>
        <w:pStyle w:val="Heading2"/>
        <w:spacing w:after="140" w:before="300"/>
      </w:pPr>
      <w:r>
        <w:rPr>
          <w:rFonts w:ascii="Microsoft JhengHei" w:cs="Microsoft JhengHei" w:eastAsia="Microsoft JhengHei" w:hAnsi="Microsoft JhengHei"/>
          <w:b/>
          <w:bCs/>
          <w:color w:val="1F3864"/>
          <w:sz w:val="25"/>
          <w:szCs w:val="25"/>
        </w:rPr>
        <w:t xml:space="preserve">10. 財務部資產配置模擬模型（Asset Allocation Models）</w:t>
      </w:r>
    </w:p>
    <w:p>
      <w:pPr>
        <w:pStyle w:val="Heading3"/>
        <w:spacing w:after="120" w:before="220"/>
      </w:pPr>
      <w:r>
        <w:rPr>
          <w:rFonts w:ascii="Microsoft JhengHei" w:cs="Microsoft JhengHei" w:eastAsia="Microsoft JhengHei" w:hAnsi="Microsoft JhengHei"/>
          <w:b/>
          <w:bCs/>
          <w:color w:val="2E5395"/>
          <w:sz w:val="22"/>
          <w:szCs w:val="22"/>
        </w:rPr>
        <w:t xml:space="preserve">10.1 試算前提</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總資本：</w:t>
      </w:r>
      <w:r>
        <w:rPr>
          <w:rFonts w:ascii="Microsoft JhengHei" w:cs="Microsoft JhengHei" w:eastAsia="Microsoft JhengHei" w:hAnsi="Microsoft JhengHei"/>
          <w:sz w:val="21"/>
          <w:szCs w:val="21"/>
        </w:rPr>
        <w:t xml:space="preserve"> USD 1,000,000</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各標的基準情境 APY 假設：</w:t>
      </w:r>
      <w:r>
        <w:rPr>
          <w:rFonts w:ascii="Microsoft JhengHei" w:cs="Microsoft JhengHei" w:eastAsia="Microsoft JhengHei" w:hAnsi="Microsoft JhengHei"/>
          <w:sz w:val="21"/>
          <w:szCs w:val="21"/>
        </w:rPr>
        <w:t xml:space="preserve"> Bitfinex 10.29%（第 3 章基準情境）；OKX 活期 2.98%（第 4 章中位情境）；Binance 活期 1.50%（第 5 章）；OKX 雙幣 45%（第 6 章示意年化，價外到期情境）；Binance 雙幣 45%（第 7 章示意年化，價外到期情境，取與 OKX 相同參數以利同基礎比較）</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重要方法論揭露：</w:t>
      </w:r>
      <w:r>
        <w:rPr>
          <w:rFonts w:ascii="Microsoft JhengHei" w:cs="Microsoft JhengHei" w:eastAsia="Microsoft JhengHei" w:hAnsi="Microsoft JhengHei"/>
          <w:sz w:val="21"/>
          <w:szCs w:val="21"/>
        </w:rPr>
        <w:t xml:space="preserve"> 雙幣理財部位之 45% 年化係採用</w:t>
      </w:r>
      <w:r>
        <w:rPr>
          <w:rFonts w:ascii="Microsoft JhengHei" w:cs="Microsoft JhengHei" w:eastAsia="Microsoft JhengHei" w:hAnsi="Microsoft JhengHei"/>
          <w:b/>
          <w:bCs/>
          <w:sz w:val="21"/>
          <w:szCs w:val="21"/>
        </w:rPr>
        <w:t xml:space="preserve">「未觸及行使價（價外到期）」情境</w:t>
      </w:r>
      <w:r>
        <w:rPr>
          <w:rFonts w:ascii="Microsoft JhengHei" w:cs="Microsoft JhengHei" w:eastAsia="Microsoft JhengHei" w:hAnsi="Microsoft JhengHei"/>
          <w:sz w:val="21"/>
          <w:szCs w:val="21"/>
        </w:rPr>
        <w:t xml:space="preserve">計算，未反映第 6、7 章情境試算中所示之觸價本金轉換損失；若納入機率加權情境分析（參考第 6.3 節示意 EV 方法論），實際已實現之綜合年化將視市場波動與觸價機率而顯著偏離本表所示數字，甚至於單一結算週期內轉為負值。第 6.4 節所述之「轉換後滾動掛單」策略可於價格回升情境下部分彌補此落差，惟同樣附帶權利金遞減與未實現損失之限制（詳見 6.4.2 節），本表數字</w:t>
      </w:r>
      <w:r>
        <w:rPr>
          <w:rFonts w:ascii="Microsoft JhengHei" w:cs="Microsoft JhengHei" w:eastAsia="Microsoft JhengHei" w:hAnsi="Microsoft JhengHei"/>
          <w:b/>
          <w:bCs/>
          <w:sz w:val="21"/>
          <w:szCs w:val="21"/>
        </w:rPr>
        <w:t xml:space="preserve">未</w:t>
      </w:r>
      <w:r>
        <w:rPr>
          <w:rFonts w:ascii="Microsoft JhengHei" w:cs="Microsoft JhengHei" w:eastAsia="Microsoft JhengHei" w:hAnsi="Microsoft JhengHei"/>
          <w:sz w:val="21"/>
          <w:szCs w:val="21"/>
        </w:rPr>
        <w:t xml:space="preserve">假設交易員必然採用該後續管理策略。</w:t>
      </w:r>
    </w:p>
    <w:p>
      <w:pPr>
        <w:pStyle w:val="Heading3"/>
        <w:spacing w:after="120" w:before="220"/>
      </w:pPr>
      <w:r>
        <w:rPr>
          <w:rFonts w:ascii="Microsoft JhengHei" w:cs="Microsoft JhengHei" w:eastAsia="Microsoft JhengHei" w:hAnsi="Microsoft JhengHei"/>
          <w:b/>
          <w:bCs/>
          <w:color w:val="2E5395"/>
          <w:sz w:val="22"/>
          <w:szCs w:val="22"/>
        </w:rPr>
        <w:t xml:space="preserve">10.2 模型 A（穩健防禦型）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標的</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權重</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基準 APY</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加權貢獻</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Bitfinex USD 放貸</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10.29%</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7.203%</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2.98%</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0.298%</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1.50%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0.150%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雙幣贏</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2.250%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雙幣投資</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2.250%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綜合加權年化（Blended APY）</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12.15%</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年度預期收益（USD）</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$121,500</w:t>
            </w:r>
          </w:p>
        </w:tc>
      </w:tr>
    </w:tbl>
    <w:p>
      <w:pPr>
        <w:spacing w:after="160"/>
      </w:pPr>
    </w:p>
    <w:p>
      <w:pPr>
        <w:spacing w:after="160" w:line="300"/>
      </w:pPr>
      <w:r>
        <w:rPr>
          <w:rFonts w:ascii="Microsoft JhengHei" w:cs="Microsoft JhengHei" w:eastAsia="Microsoft JhengHei" w:hAnsi="Microsoft JhengHei"/>
          <w:b/>
          <w:bCs/>
          <w:sz w:val="21"/>
          <w:szCs w:val="21"/>
        </w:rPr>
        <w:t xml:space="preserve">流動性/風險輪廓：</w:t>
      </w:r>
      <w:r>
        <w:rPr>
          <w:rFonts w:ascii="Microsoft JhengHei" w:cs="Microsoft JhengHei" w:eastAsia="Microsoft JhengHei" w:hAnsi="Microsoft JhengHei"/>
          <w:sz w:val="21"/>
          <w:szCs w:val="21"/>
        </w:rPr>
        <w:t xml:space="preserve"> 本金保障程度最高（75% 資金無方向性曝險），T+0 流動性佔比 20%，雙幣理財曝險合計僅 10%，為五項模型中方向性風險與流動性鎖定程度最低之組合。</w:t>
      </w:r>
    </w:p>
    <w:p>
      <w:pPr>
        <w:pStyle w:val="Heading3"/>
        <w:spacing w:after="120" w:before="220"/>
      </w:pPr>
      <w:r>
        <w:rPr>
          <w:rFonts w:ascii="Microsoft JhengHei" w:cs="Microsoft JhengHei" w:eastAsia="Microsoft JhengHei" w:hAnsi="Microsoft JhengHei"/>
          <w:b/>
          <w:bCs/>
          <w:color w:val="2E5395"/>
          <w:sz w:val="22"/>
          <w:szCs w:val="22"/>
        </w:rPr>
        <w:t xml:space="preserve">10.3 模型 B（平衡收益型）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標的</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權重</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基準 APY</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加權貢獻</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Bitfinex USD 放貸</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10.29%</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5.660%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2.98%</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0.298%</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1.50%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0.150%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雙幣贏</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6.750%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雙幣投資</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綜合加權年化（Blended APY）</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17.36%</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年度預期收益（USD）</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$173,600</w:t>
            </w:r>
          </w:p>
        </w:tc>
      </w:tr>
    </w:tbl>
    <w:p>
      <w:pPr>
        <w:spacing w:after="160"/>
      </w:pPr>
    </w:p>
    <w:p>
      <w:pPr>
        <w:spacing w:after="160" w:line="300"/>
      </w:pPr>
      <w:r>
        <w:rPr>
          <w:rFonts w:ascii="Microsoft JhengHei" w:cs="Microsoft JhengHei" w:eastAsia="Microsoft JhengHei" w:hAnsi="Microsoft JhengHei"/>
          <w:b/>
          <w:bCs/>
          <w:sz w:val="21"/>
          <w:szCs w:val="21"/>
        </w:rPr>
        <w:t xml:space="preserve">流動性/風險輪廓：</w:t>
      </w:r>
      <w:r>
        <w:rPr>
          <w:rFonts w:ascii="Microsoft JhengHei" w:cs="Microsoft JhengHei" w:eastAsia="Microsoft JhengHei" w:hAnsi="Microsoft JhengHei"/>
          <w:sz w:val="21"/>
          <w:szCs w:val="21"/>
        </w:rPr>
        <w:t xml:space="preserve"> 無方向性曝險部位降至 55%，雙幣理財合計曝險提高至 25%，綜合加權年化顯著提升，惟同步提高本金觸價轉換之潛在情境數量與幅度。</w:t>
      </w:r>
    </w:p>
    <w:p>
      <w:pPr>
        <w:pStyle w:val="Heading3"/>
        <w:spacing w:after="120" w:before="220"/>
      </w:pPr>
      <w:r>
        <w:rPr>
          <w:rFonts w:ascii="Microsoft JhengHei" w:cs="Microsoft JhengHei" w:eastAsia="Microsoft JhengHei" w:hAnsi="Microsoft JhengHei"/>
          <w:b/>
          <w:bCs/>
          <w:color w:val="2E5395"/>
          <w:sz w:val="22"/>
          <w:szCs w:val="22"/>
        </w:rPr>
        <w:t xml:space="preserve">10.4 模型 C（戰術成長型）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標的</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權重</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基準 APY</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加權貢獻</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Bitfinex USD 放貸</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10.29%</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4.116%</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2.98%</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0.298%</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活期理財</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1.50%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0.150%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OKX 雙幣贏</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9.000%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Binance 雙幣投資</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9.000%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綜合加權年化（Blended APY）</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22.56%</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年度預期收益（USD）</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$225,600</w:t>
            </w:r>
          </w:p>
        </w:tc>
      </w:tr>
    </w:tbl>
    <w:p>
      <w:pPr>
        <w:spacing w:after="160"/>
      </w:pPr>
    </w:p>
    <w:p>
      <w:pPr>
        <w:spacing w:after="160" w:line="300"/>
      </w:pPr>
      <w:r>
        <w:rPr>
          <w:rFonts w:ascii="Microsoft JhengHei" w:cs="Microsoft JhengHei" w:eastAsia="Microsoft JhengHei" w:hAnsi="Microsoft JhengHei"/>
          <w:b/>
          <w:bCs/>
          <w:sz w:val="21"/>
          <w:szCs w:val="21"/>
        </w:rPr>
        <w:t xml:space="preserve">流動性/風險輪廓：</w:t>
      </w:r>
      <w:r>
        <w:rPr>
          <w:rFonts w:ascii="Microsoft JhengHei" w:cs="Microsoft JhengHei" w:eastAsia="Microsoft JhengHei" w:hAnsi="Microsoft JhengHei"/>
          <w:sz w:val="21"/>
          <w:szCs w:val="21"/>
        </w:rPr>
        <w:t xml:space="preserve"> 雙幣理財合計曝險達 40%，為三模型中方向性風險與潛在本金轉換規模最高之組合，適用於財務部已有明確目標價戰略建倉／減碼規劃、且可承受對應天期內本金以標的資產形式持有之情境。</w:t>
      </w:r>
    </w:p>
    <w:p>
      <w:pPr>
        <w:pStyle w:val="Heading3"/>
        <w:spacing w:after="120" w:before="220"/>
      </w:pPr>
      <w:r>
        <w:rPr>
          <w:rFonts w:ascii="Microsoft JhengHei" w:cs="Microsoft JhengHei" w:eastAsia="Microsoft JhengHei" w:hAnsi="Microsoft JhengHei"/>
          <w:b/>
          <w:bCs/>
          <w:color w:val="2E5395"/>
          <w:sz w:val="22"/>
          <w:szCs w:val="22"/>
        </w:rPr>
        <w:t xml:space="preserve">10.5 三模型彙總對比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rPr>
          <w:tblHeader/>
        </w:trPr>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指標</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模型 A（穩健防禦型）</w:t>
            </w:r>
          </w:p>
        </w:tc>
        <w:tc>
          <w:tcPr>
            <w:tcW w:type="dxa" w:w="2337"/>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模型 B（平衡收益型）</w:t>
            </w:r>
          </w:p>
        </w:tc>
        <w:tc>
          <w:tcPr>
            <w:tcW w:type="dxa" w:w="2339"/>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模型 C（戰術成長型）</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綜合加權年化（Blended APY）</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12.15%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17.36%</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22.56%</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年度預期收益（USD）</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$121,500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$173,600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$225,600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無方向性曝險部位佔比</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75%</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55%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雙幣理財（方向性曝險）合計佔比</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10%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25%</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40%</w:t>
            </w:r>
          </w:p>
        </w:tc>
      </w:tr>
      <w:tr>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T+0 流動性緩衝佔比</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w:t>
            </w:r>
          </w:p>
        </w:tc>
        <w:tc>
          <w:tcPr>
            <w:tcW w:type="dxa" w:w="2337"/>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w:t>
            </w:r>
          </w:p>
        </w:tc>
        <w:tc>
          <w:tcPr>
            <w:tcW w:type="dxa" w:w="2339"/>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20%</w:t>
            </w:r>
          </w:p>
        </w:tc>
      </w:tr>
    </w:tbl>
    <w:p>
      <w:pPr>
        <w:spacing w:after="160"/>
      </w:pPr>
    </w:p>
    <w:p>
      <w:pPr>
        <w:pStyle w:val="Heading2"/>
        <w:spacing w:after="140" w:before="300"/>
      </w:pPr>
      <w:r>
        <w:rPr>
          <w:rFonts w:ascii="Microsoft JhengHei" w:cs="Microsoft JhengHei" w:eastAsia="Microsoft JhengHei" w:hAnsi="Microsoft JhengHei"/>
          <w:b/>
          <w:bCs/>
          <w:color w:val="1F3864"/>
          <w:sz w:val="25"/>
          <w:szCs w:val="25"/>
        </w:rPr>
        <w:t xml:space="preserve">11. 內控架構、資安規範與風控防護</w:t>
      </w:r>
    </w:p>
    <w:p>
      <w:pPr>
        <w:pStyle w:val="Heading3"/>
        <w:spacing w:after="120" w:before="220"/>
      </w:pPr>
      <w:r>
        <w:rPr>
          <w:rFonts w:ascii="Microsoft JhengHei" w:cs="Microsoft JhengHei" w:eastAsia="Microsoft JhengHei" w:hAnsi="Microsoft JhengHei"/>
          <w:b/>
          <w:bCs/>
          <w:color w:val="2E5395"/>
          <w:sz w:val="22"/>
          <w:szCs w:val="22"/>
        </w:rPr>
        <w:t xml:space="preserve">11.1 API 最小授權架構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防禦層</w:t>
            </w:r>
          </w:p>
        </w:tc>
        <w:tc>
          <w:tcPr>
            <w:tcW w:type="dxa" w:w="4675"/>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具體措施</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權限範圍</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API 金鑰僅開放「出借（Margin Funding）」與「理財申購（Earn Subscription）」權限，</w:t>
            </w:r>
            <w:r>
              <w:rPr>
                <w:rFonts w:ascii="Microsoft JhengHei" w:cs="Microsoft JhengHei" w:eastAsia="Microsoft JhengHei" w:hAnsi="Microsoft JhengHei"/>
                <w:b/>
                <w:bCs/>
                <w:sz w:val="18"/>
                <w:szCs w:val="18"/>
              </w:rPr>
              <w:t xml:space="preserve">物理性封閉提幣（Withdrawal）與轉帳（Transfer）功能</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網路存取控制</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固定 IP 白名單綁定，僅允許自公司內部 VPC 固定出口 IP 存取</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金鑰保管</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採企業 KMS（Key Management Service）加密保管，產生、保管、使用三權分立，並定期執行金鑰輪替</w:t>
            </w:r>
          </w:p>
        </w:tc>
      </w:tr>
      <w:tr>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稽核留痕</w:t>
            </w:r>
          </w:p>
        </w:tc>
        <w:tc>
          <w:tcPr>
            <w:tcW w:type="dxa" w:w="4675"/>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所有 API 呼叫紀錄完整留存，供內部稽核與外部財務審計覆核</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11.2 集中度與緩衝門檻管理</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單一平台集中度上限：</w:t>
      </w:r>
      <w:r>
        <w:rPr>
          <w:rFonts w:ascii="Microsoft JhengHei" w:cs="Microsoft JhengHei" w:eastAsia="Microsoft JhengHei" w:hAnsi="Microsoft JhengHei"/>
          <w:sz w:val="21"/>
          <w:szCs w:val="21"/>
        </w:rPr>
        <w:t xml:space="preserve"> 各平台（Bitfinex / OKX / Binance）之總曝險分別不超過資產管理部可運用資金之特定核定比例，由風控委員會依平台信用評等分級核定。</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雙幣理財價外緩衝門檻：</w:t>
      </w:r>
      <w:r>
        <w:rPr>
          <w:rFonts w:ascii="Microsoft JhengHei" w:cs="Microsoft JhengHei" w:eastAsia="Microsoft JhengHei" w:hAnsi="Microsoft JhengHei"/>
          <w:sz w:val="21"/>
          <w:szCs w:val="21"/>
        </w:rPr>
        <w:t xml:space="preserve"> 雙幣理財掛單之行使價距離（Strike Distance）</w:t>
      </w:r>
      <w:r>
        <w:rPr>
          <w:rFonts w:ascii="Microsoft JhengHei" w:cs="Microsoft JhengHei" w:eastAsia="Microsoft JhengHei" w:hAnsi="Microsoft JhengHei"/>
          <w:b/>
          <w:bCs/>
          <w:sz w:val="21"/>
          <w:szCs w:val="21"/>
        </w:rPr>
        <w:t xml:space="preserve">建議限制於價外（OTM）8% 以上</w:t>
      </w:r>
      <w:r>
        <w:rPr>
          <w:rFonts w:ascii="Microsoft JhengHei" w:cs="Microsoft JhengHei" w:eastAsia="Microsoft JhengHei" w:hAnsi="Microsoft JhengHei"/>
          <w:sz w:val="21"/>
          <w:szCs w:val="21"/>
        </w:rPr>
        <w:t xml:space="preserve">，以降低觸價轉換機率，並將此門檻納入交易員操作 SOP 之強制檢核項目。</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緊急撤單召回 SOP（Kill-Switch）：</w:t>
      </w:r>
      <w:r>
        <w:rPr>
          <w:rFonts w:ascii="Microsoft JhengHei" w:cs="Microsoft JhengHei" w:eastAsia="Microsoft JhengHei" w:hAnsi="Microsoft JhengHei"/>
          <w:sz w:val="21"/>
          <w:szCs w:val="21"/>
        </w:rPr>
        <w:t xml:space="preserve"> 建立平台異常事件（出金延遲、API 異常、市場單日劇烈波動超過預設閾值）之自動預警機制，觸發後立即停止新單掛出，並依 SOP 啟動既有部位之緊急處置流程。</w:t>
      </w:r>
    </w:p>
    <w:p>
      <w:pPr>
        <w:pStyle w:val="Heading2"/>
        <w:spacing w:after="140" w:before="300"/>
      </w:pPr>
      <w:r>
        <w:rPr>
          <w:rFonts w:ascii="Microsoft JhengHei" w:cs="Microsoft JhengHei" w:eastAsia="Microsoft JhengHei" w:hAnsi="Microsoft JhengHei"/>
          <w:b/>
          <w:bCs/>
          <w:color w:val="1F3864"/>
          <w:sz w:val="25"/>
          <w:szCs w:val="25"/>
        </w:rPr>
        <w:t xml:space="preserve">12. 推進時程與沙盒試點計畫（Implementation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階段</w:t>
            </w:r>
          </w:p>
        </w:tc>
        <w:tc>
          <w:tcPr>
            <w:tcW w:type="dxa" w:w="3116"/>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內容</w:t>
            </w:r>
          </w:p>
        </w:tc>
        <w:tc>
          <w:tcPr>
            <w:tcW w:type="dxa" w:w="3118"/>
            <w:tcBorders>
              <w:top w:val="single" w:color="9DB3C8" w:sz="4"/>
              <w:left w:val="single" w:color="9DB3C8" w:sz="4"/>
              <w:bottom w:val="single" w:color="9DB3C8" w:sz="4"/>
              <w:right w:val="single" w:color="9DB3C8" w:sz="4"/>
            </w:tcBorders>
            <w:shd w:fill="1F3864"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預計時程</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Phase 1：會簽授權與 API 設定</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財務部、風控委員會、法遵室完成本報告會簽；完成五項標的之 API 最小權限設定與資安部門覆核；制定緊急撤單 SOP 與雙幣理財 OTM 緩衝門檻規範</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核准後 2–4 週</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Phase 2：小規模沙盒試點</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依核定額度啟動五項工具之小額試點，實測對帳流程與各標的實際收益率、流動性召回時效</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2–3 個月</w:t>
            </w:r>
          </w:p>
        </w:tc>
      </w:tr>
      <w:tr>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b/>
                <w:bCs/>
                <w:sz w:val="18"/>
                <w:szCs w:val="18"/>
              </w:rPr>
              <w:t xml:space="preserve">Phase 3：常態化配置與自動化微服務部署</w:t>
            </w:r>
          </w:p>
        </w:tc>
        <w:tc>
          <w:tcPr>
            <w:tcW w:type="dxa" w:w="3116"/>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依 Phase 2 實測數據，依核定之配置模型（模型 A / B / C 或財務部客製化權重）分配常態化額度，並將驗證完成之流程遷移為內部自研 API 微服務，部署於內部 VPC</w:t>
            </w:r>
          </w:p>
        </w:tc>
        <w:tc>
          <w:tcPr>
            <w:tcW w:type="dxa" w:w="3118"/>
            <w:tcBorders>
              <w:top w:val="single" w:color="9DB3C8" w:sz="4"/>
              <w:left w:val="single" w:color="9DB3C8" w:sz="4"/>
              <w:bottom w:val="single" w:color="9DB3C8" w:sz="4"/>
              <w:right w:val="single" w:color="9DB3C8" w:sz="4"/>
            </w:tcBorders>
            <w:tcMar>
              <w:top w:type="dxa" w:w="80"/>
              <w:left w:type="dxa" w:w="100"/>
              <w:bottom w:type="dxa" w:w="80"/>
              <w:right w:type="dxa" w:w="100"/>
            </w:tcMar>
            <w:vAlign w:val="center"/>
          </w:tcPr>
          <w:p>
            <w:pPr>
              <w:spacing w:line="264"/>
            </w:pPr>
            <w:r>
              <w:rPr>
                <w:rFonts w:ascii="Microsoft JhengHei" w:cs="Microsoft JhengHei" w:eastAsia="Microsoft JhengHei" w:hAnsi="Microsoft JhengHei"/>
                <w:sz w:val="18"/>
                <w:szCs w:val="18"/>
              </w:rPr>
              <w:t xml:space="preserve">Phase 2 結束後 1 個月內啟動評估</w:t>
            </w:r>
          </w:p>
        </w:tc>
      </w:tr>
    </w:tbl>
    <w:p>
      <w:pPr>
        <w:spacing w:after="160"/>
      </w:pPr>
    </w:p>
    <w:p>
      <w:pPr>
        <w:pStyle w:val="Heading3"/>
        <w:spacing w:after="120" w:before="220"/>
      </w:pPr>
      <w:r>
        <w:rPr>
          <w:rFonts w:ascii="Microsoft JhengHei" w:cs="Microsoft JhengHei" w:eastAsia="Microsoft JhengHei" w:hAnsi="Microsoft JhengHei"/>
          <w:b/>
          <w:bCs/>
          <w:color w:val="2E5395"/>
          <w:sz w:val="22"/>
          <w:szCs w:val="22"/>
        </w:rPr>
        <w:t xml:space="preserve">12.1 治理與覆核機制</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月度覆核：</w:t>
      </w:r>
      <w:r>
        <w:rPr>
          <w:rFonts w:ascii="Microsoft JhengHei" w:cs="Microsoft JhengHei" w:eastAsia="Microsoft JhengHei" w:hAnsi="Microsoft JhengHei"/>
          <w:sz w:val="21"/>
          <w:szCs w:val="21"/>
        </w:rPr>
        <w:t xml:space="preserve"> 財務部與資產管理部聯合覆核當月出入金、各標的實際收益率與曝險集中度。</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季度風控報告：</w:t>
      </w:r>
      <w:r>
        <w:rPr>
          <w:rFonts w:ascii="Microsoft JhengHei" w:cs="Microsoft JhengHei" w:eastAsia="Microsoft JhengHei" w:hAnsi="Microsoft JhengHei"/>
          <w:sz w:val="21"/>
          <w:szCs w:val="21"/>
        </w:rPr>
        <w:t xml:space="preserve"> 提交風控委員會，內容涵蓋單一平台曝險比率、雙幣理財觸價事件統計、實際綜合加權年化與目標值落差分析。</w:t>
      </w:r>
    </w:p>
    <w:p>
      <w:pPr>
        <w:spacing w:after="160" w:line="300"/>
      </w:pPr>
      <w:r>
        <w:rPr>
          <w:rFonts w:ascii="Microsoft JhengHei" w:cs="Microsoft JhengHei" w:eastAsia="Microsoft JhengHei" w:hAnsi="Microsoft JhengHei"/>
          <w:sz w:val="21"/>
          <w:szCs w:val="21"/>
        </w:rPr>
        <w:t xml:space="preserve">- </w:t>
      </w:r>
      <w:r>
        <w:rPr>
          <w:rFonts w:ascii="Microsoft JhengHei" w:cs="Microsoft JhengHei" w:eastAsia="Microsoft JhengHei" w:hAnsi="Microsoft JhengHei"/>
          <w:b/>
          <w:bCs/>
          <w:sz w:val="21"/>
          <w:szCs w:val="21"/>
        </w:rPr>
        <w:t xml:space="preserve">異常事件即時通報：</w:t>
      </w:r>
      <w:r>
        <w:rPr>
          <w:rFonts w:ascii="Microsoft JhengHei" w:cs="Microsoft JhengHei" w:eastAsia="Microsoft JhengHei" w:hAnsi="Microsoft JhengHei"/>
          <w:sz w:val="21"/>
          <w:szCs w:val="21"/>
        </w:rPr>
        <w:t xml:space="preserve"> 平台異常出金延遲、API 異常呼叫、USDT 脫錨事件、雙幣理財觸價事件、或同業擠兌/穿倉事件，須於 24 小時內通報風控主管與財務長。</w:t>
      </w:r>
    </w:p>
    <w:p>
      <w:pPr>
        <w:pStyle w:val="Heading2"/>
        <w:spacing w:after="140" w:before="300"/>
      </w:pPr>
      <w:r>
        <w:rPr>
          <w:rFonts w:ascii="Microsoft JhengHei" w:cs="Microsoft JhengHei" w:eastAsia="Microsoft JhengHei" w:hAnsi="Microsoft JhengHei"/>
          <w:b/>
          <w:bCs/>
          <w:color w:val="1F3864"/>
          <w:sz w:val="25"/>
          <w:szCs w:val="25"/>
        </w:rPr>
        <w:t xml:space="preserve">13. 資料來源與檢索時間（Sources &amp; Retrieval Date）</w:t>
      </w:r>
    </w:p>
    <w:p>
      <w:pPr>
        <w:spacing w:after="160" w:line="300"/>
      </w:pPr>
      <w:r>
        <w:rPr>
          <w:rFonts w:ascii="Microsoft JhengHei" w:cs="Microsoft JhengHei" w:eastAsia="Microsoft JhengHei" w:hAnsi="Microsoft JhengHei"/>
          <w:sz w:val="21"/>
          <w:szCs w:val="21"/>
        </w:rPr>
        <w:t xml:space="preserve">以下為本報告市場數據所引用之公開資料來源，檢索時間均為 2026 年 9 月：</w:t>
      </w:r>
    </w:p>
    <w:p>
      <w:pPr>
        <w:spacing w:after="160" w:line="300"/>
      </w:pPr>
      <w:r>
        <w:rPr>
          <w:rFonts w:ascii="Microsoft JhengHei" w:cs="Microsoft JhengHei" w:eastAsia="Microsoft JhengHei" w:hAnsi="Microsoft JhengHei"/>
          <w:sz w:val="21"/>
          <w:szCs w:val="21"/>
        </w:rPr>
        <w:t xml:space="preserve">- [Bitfinex Lending Rates: Live USD/USDT/BTC FRR &amp; 24h History · EarnUSD](https://earn-usd.com/rates)</w:t>
      </w:r>
    </w:p>
    <w:p>
      <w:pPr>
        <w:spacing w:after="160" w:line="300"/>
      </w:pPr>
      <w:r>
        <w:rPr>
          <w:rFonts w:ascii="Microsoft JhengHei" w:cs="Microsoft JhengHei" w:eastAsia="Microsoft JhengHei" w:hAnsi="Microsoft JhengHei"/>
          <w:sz w:val="21"/>
          <w:szCs w:val="21"/>
        </w:rPr>
        <w:t xml:space="preserve">- [What is the Bitfinex Funding Flash Return Rate – Bitfinex Help Center](https://support.bitfinex.com/hc/en-us/articles/213919009-What-is-the-Bitfinex-Funding-Flash-Return-Rate)</w:t>
      </w:r>
    </w:p>
    <w:p>
      <w:pPr>
        <w:spacing w:after="160" w:line="300"/>
      </w:pPr>
      <w:r>
        <w:rPr>
          <w:rFonts w:ascii="Microsoft JhengHei" w:cs="Microsoft JhengHei" w:eastAsia="Microsoft JhengHei" w:hAnsi="Microsoft JhengHei"/>
          <w:sz w:val="21"/>
          <w:szCs w:val="21"/>
        </w:rPr>
        <w:t xml:space="preserve">- [What fees does Bitfinex charge – Bitfinex Help Center](https://support.bitfinex.com/hc/en-us/articles/213919589-What-fees-does-Bitfinex-charge)</w:t>
      </w:r>
    </w:p>
    <w:p>
      <w:pPr>
        <w:spacing w:after="160" w:line="300"/>
      </w:pPr>
      <w:r>
        <w:rPr>
          <w:rFonts w:ascii="Microsoft JhengHei" w:cs="Microsoft JhengHei" w:eastAsia="Microsoft JhengHei" w:hAnsi="Microsoft JhengHei"/>
          <w:sz w:val="21"/>
          <w:szCs w:val="21"/>
        </w:rPr>
        <w:t xml:space="preserve">- [How are the Funding interest earnings and fees calculated at Bitfinex – Bitfinex Help Center](https://support.bitfinex.com/hc/en-us/articles/360024039494-What-do-I-get-when-I-offer-Margin-Funding-)</w:t>
      </w:r>
    </w:p>
    <w:p>
      <w:pPr>
        <w:spacing w:after="160" w:line="300"/>
      </w:pPr>
      <w:r>
        <w:rPr>
          <w:rFonts w:ascii="Microsoft JhengHei" w:cs="Microsoft JhengHei" w:eastAsia="Microsoft JhengHei" w:hAnsi="Microsoft JhengHei"/>
          <w:sz w:val="21"/>
          <w:szCs w:val="21"/>
        </w:rPr>
        <w:t xml:space="preserve">- [Simple Earn Flexible FAQ | OKX](https://www.okx.com/en-ar/help/simple-earn-faq)</w:t>
      </w:r>
    </w:p>
    <w:p>
      <w:pPr>
        <w:spacing w:after="160" w:line="300"/>
      </w:pPr>
      <w:r>
        <w:rPr>
          <w:rFonts w:ascii="Microsoft JhengHei" w:cs="Microsoft JhengHei" w:eastAsia="Microsoft JhengHei" w:hAnsi="Microsoft JhengHei"/>
          <w:sz w:val="21"/>
          <w:szCs w:val="21"/>
        </w:rPr>
        <w:t xml:space="preserve">- [Introduction to OKX Simple Earn Flexible and Its Rules | OKX United States](https://www.okx.com/en-us/help/introduction-to-okx-simple-earn-flexible)</w:t>
      </w:r>
    </w:p>
    <w:p>
      <w:pPr>
        <w:spacing w:after="160" w:line="300"/>
      </w:pPr>
      <w:r>
        <w:rPr>
          <w:rFonts w:ascii="Microsoft JhengHei" w:cs="Microsoft JhengHei" w:eastAsia="Microsoft JhengHei" w:hAnsi="Microsoft JhengHei"/>
          <w:sz w:val="21"/>
          <w:szCs w:val="21"/>
        </w:rPr>
        <w:t xml:space="preserve">- [Our 45th Consecutive Proof of Reserves | OKX United States](https://www.okx.com/en-us/learn/por-45)</w:t>
      </w:r>
    </w:p>
    <w:p>
      <w:pPr>
        <w:spacing w:after="160" w:line="300"/>
      </w:pPr>
      <w:r>
        <w:rPr>
          <w:rFonts w:ascii="Microsoft JhengHei" w:cs="Microsoft JhengHei" w:eastAsia="Microsoft JhengHei" w:hAnsi="Microsoft JhengHei"/>
          <w:sz w:val="21"/>
          <w:szCs w:val="21"/>
        </w:rPr>
        <w:t xml:space="preserve">- [A quick guide to trading crypto pairs with OKX Dual Investment | OKX United States](https://www.okx.com/en-us/learn/a-quick-guide-to-trading-crypto-pairs-with-okx-dual-investment)</w:t>
      </w:r>
    </w:p>
    <w:p>
      <w:pPr>
        <w:spacing w:after="160" w:line="300"/>
      </w:pPr>
      <w:r>
        <w:rPr>
          <w:rFonts w:ascii="Microsoft JhengHei" w:cs="Microsoft JhengHei" w:eastAsia="Microsoft JhengHei" w:hAnsi="Microsoft JhengHei"/>
          <w:sz w:val="21"/>
          <w:szCs w:val="21"/>
        </w:rPr>
        <w:t xml:space="preserve">- [OKX to update the settlement price calculation rule for Dual Investment | OKX United States](https://www.okx.com/en-us/help/okx-to-update-the-settlement-price-for-dual-investment)</w:t>
      </w:r>
    </w:p>
    <w:p>
      <w:pPr>
        <w:spacing w:after="160" w:line="300"/>
      </w:pPr>
      <w:r>
        <w:rPr>
          <w:rFonts w:ascii="Microsoft JhengHei" w:cs="Microsoft JhengHei" w:eastAsia="Microsoft JhengHei" w:hAnsi="Microsoft JhengHei"/>
          <w:sz w:val="21"/>
          <w:szCs w:val="21"/>
        </w:rPr>
        <w:t xml:space="preserve">- [Enjoy Up to 6% APR with USDT Flexible Products | Binance](https://www.binance.com/en/support/announcement/detail/7c272e07830b47fa9378827c5b15de81)</w:t>
      </w:r>
    </w:p>
    <w:p>
      <w:pPr>
        <w:spacing w:after="160" w:line="300"/>
      </w:pPr>
      <w:r>
        <w:rPr>
          <w:rFonts w:ascii="Microsoft JhengHei" w:cs="Microsoft JhengHei" w:eastAsia="Microsoft JhengHei" w:hAnsi="Microsoft JhengHei"/>
          <w:sz w:val="21"/>
          <w:szCs w:val="21"/>
        </w:rPr>
        <w:t xml:space="preserve">- [Earn up to 6% APR with USDT products featuring flexible | Binance](https://www.binance.com/en/square/post/330412082187042)</w:t>
      </w:r>
    </w:p>
    <w:p>
      <w:pPr>
        <w:spacing w:after="160" w:line="300"/>
      </w:pPr>
      <w:r>
        <w:rPr>
          <w:rFonts w:ascii="Microsoft JhengHei" w:cs="Microsoft JhengHei" w:eastAsia="Microsoft JhengHei" w:hAnsi="Microsoft JhengHei"/>
          <w:sz w:val="21"/>
          <w:szCs w:val="21"/>
        </w:rPr>
        <w:t xml:space="preserve">- [Binance Reworks SAFU Reserves, Shifting $1B From Stablecoins to Bitcoin | Finance Magnates](https://www.financemagnates.com/cryptocurrency/binance-reworks-safu-reserves-shifting-1b-from-stablecoins-to-bitcoin/)</w:t>
      </w:r>
    </w:p>
    <w:p>
      <w:pPr>
        <w:spacing w:after="160" w:line="300"/>
      </w:pPr>
      <w:r>
        <w:rPr>
          <w:rFonts w:ascii="Microsoft JhengHei" w:cs="Microsoft JhengHei" w:eastAsia="Microsoft JhengHei" w:hAnsi="Microsoft JhengHei"/>
          <w:sz w:val="21"/>
          <w:szCs w:val="21"/>
        </w:rPr>
        <w:t xml:space="preserve">- [Binance to convert about $1B SAFU stablecoin reserves into Bitcoin BTC within 30 days, with $162.8B Proof of Reserves | Blockchain News](https://blockchain.news/flashnews/binance-to-convert-about-1b-safu-stablecoin-reserves-into-bitcoin-btc-within-30-days-with-162-8b-proof-of-reserves-and-listings-across-eth-bsc-sol)</w:t>
      </w:r>
    </w:p>
    <w:p>
      <w:pPr>
        <w:spacing w:after="160" w:line="300"/>
      </w:pPr>
      <w:r>
        <w:rPr>
          <w:rFonts w:ascii="Microsoft JhengHei" w:cs="Microsoft JhengHei" w:eastAsia="Microsoft JhengHei" w:hAnsi="Microsoft JhengHei"/>
          <w:sz w:val="21"/>
          <w:szCs w:val="21"/>
        </w:rPr>
        <w:t xml:space="preserve">- [Binance Dual Investment — NEW: Auto-Compound Feature | Medium](https://medium.com/@rowneth/binance-dual-investment-new-dual-investment-auto-compound-feature-96c2bcc44ff8)</w:t>
      </w:r>
    </w:p>
    <w:p>
      <w:pPr>
        <w:spacing w:after="160" w:line="300"/>
      </w:pPr>
      <w:r>
        <w:rPr>
          <w:rFonts w:ascii="Microsoft JhengHei" w:cs="Microsoft JhengHei" w:eastAsia="Microsoft JhengHei" w:hAnsi="Microsoft JhengHei"/>
          <w:sz w:val="21"/>
          <w:szCs w:val="21"/>
        </w:rPr>
        <w:t xml:space="preserve">- [Binance Launches Dual Investment Auto-Compound Feature &amp; New Dual Investment Products | Binance Support](https://www.binance.com/en-BH/support/announcement/binance-launches-dual-investment-auto-compound-feature-new-dual-investment-products-255df2d04d9348bea0405819be90ba82)</w:t>
      </w:r>
    </w:p>
    <w:p>
      <w:pPr>
        <w:spacing w:after="160" w:line="300"/>
      </w:pPr>
      <w:r>
        <w:rPr>
          <w:rFonts w:ascii="Microsoft JhengHei" w:cs="Microsoft JhengHei" w:eastAsia="Microsoft JhengHei" w:hAnsi="Microsoft JhengHei"/>
          <w:sz w:val="21"/>
          <w:szCs w:val="21"/>
        </w:rPr>
        <w:t xml:space="preserve">- [SOFR Rate Today | sofrrate.com](https://www.sofrrate.com/)</w:t>
      </w:r>
    </w:p>
    <w:p>
      <w:pPr>
        <w:spacing w:after="160" w:line="300"/>
      </w:pPr>
      <w:r>
        <w:rPr>
          <w:rFonts w:ascii="Microsoft JhengHei" w:cs="Microsoft JhengHei" w:eastAsia="Microsoft JhengHei" w:hAnsi="Microsoft JhengHei"/>
          <w:sz w:val="21"/>
          <w:szCs w:val="21"/>
        </w:rPr>
        <w:t xml:space="preserve">- [Secured Overnight Financing Rate (SOFR) | FRED, St. Louis Fed](https://fred.stlouisfed.org/series/SOFR)</w:t>
      </w:r>
    </w:p>
    <w:p>
      <w:pPr>
        <w:spacing w:after="160" w:line="300"/>
      </w:pPr>
      <w:r>
        <w:rPr>
          <w:rFonts w:ascii="Microsoft JhengHei" w:cs="Microsoft JhengHei" w:eastAsia="Microsoft JhengHei" w:hAnsi="Microsoft JhengHei"/>
          <w:sz w:val="21"/>
          <w:szCs w:val="21"/>
        </w:rPr>
        <w:t xml:space="preserve">- [Current price of Bitcoin for September 3, 2026 | Fortune](https://fortune.com/article/price-of-bitcoin-09-03-2026/)</w:t>
      </w:r>
    </w:p>
    <w:p>
      <w:pPr>
        <w:spacing w:after="160" w:line="300"/>
      </w:pPr>
      <w:r>
        <w:rPr>
          <w:rFonts w:ascii="Microsoft JhengHei" w:cs="Microsoft JhengHei" w:eastAsia="Microsoft JhengHei" w:hAnsi="Microsoft JhengHei"/>
          <w:sz w:val="21"/>
          <w:szCs w:val="21"/>
        </w:rPr>
        <w:t xml:space="preserve">- [Bitcoin price news: Can BTC fall to $70,000 as options flash troubling signs | CoinDesk](https://www.coindesk.com/markets/2026/01/30/bitcoin-options-flash-troubling-signs-as-dvol-spikes-most-since-november)</w:t>
      </w:r>
    </w:p>
    <w:p>
      <w:pPr>
        <w:spacing w:after="160" w:line="300"/>
      </w:pPr>
      <w:r>
        <w:rPr>
          <w:rFonts w:ascii="Microsoft JhengHei" w:cs="Microsoft JhengHei" w:eastAsia="Microsoft JhengHei" w:hAnsi="Microsoft JhengHei"/>
          <w:sz w:val="21"/>
          <w:szCs w:val="21"/>
        </w:rPr>
        <w:t xml:space="preserve">- [Bitcoin volatility looks cheap as $10 billion options settlement nears | CoinDesk](https://www.coindesk.com/daybook-us/2026/06/23/bitcoin-volatility-looks-cheap-as-usd10-billion-options-settlement-nears)</w:t>
      </w:r>
    </w:p>
    <w:p>
      <w:pPr>
        <w:spacing w:after="160" w:line="300"/>
      </w:pPr>
      <w:r>
        <w:rPr>
          <w:rFonts w:ascii="Microsoft JhengHei" w:cs="Microsoft JhengHei" w:eastAsia="Microsoft JhengHei" w:hAnsi="Microsoft JhengHei"/>
          <w:sz w:val="21"/>
          <w:szCs w:val="21"/>
        </w:rPr>
        <w:t xml:space="preserve">- [Dual Investment now supports more term lengths | OKX United States](https://www.okx.com/en-us/help/dual-investment-now-supports-more-term-lengths)</w:t>
      </w:r>
    </w:p>
    <w:p>
      <w:pPr>
        <w:spacing w:after="160" w:line="300"/>
      </w:pPr>
      <w:r>
        <w:rPr>
          <w:rFonts w:ascii="Microsoft JhengHei" w:cs="Microsoft JhengHei" w:eastAsia="Microsoft JhengHei" w:hAnsi="Microsoft JhengHei"/>
          <w:sz w:val="21"/>
          <w:szCs w:val="21"/>
        </w:rPr>
        <w:t xml:space="preserve">- [Flash News: OKX Unveils New Dual Investment Structured Product with Two-Day Term | FinTech Futures](https://www.fintechfutures.com/press-releases/flash-news-okx-unveils-new-dual-investment-structured-product-with-two-day-term)</w:t>
      </w:r>
    </w:p>
    <w:p>
      <w:pPr>
        <w:spacing w:after="100" w:before="200"/>
      </w:pPr>
      <w:r>
        <w:rPr>
          <w:rFonts w:ascii="Microsoft JhengHei" w:cs="Microsoft JhengHei" w:eastAsia="Microsoft JhengHei" w:hAnsi="Microsoft JhengHei"/>
          <w:i/>
          <w:iCs/>
          <w:color w:val="595959"/>
          <w:sz w:val="18"/>
          <w:szCs w:val="18"/>
        </w:rPr>
        <w:t xml:space="preserve">本報告由 TSGEX 資產管理部撰擬，僅供公司內部財務部、風控委員會、法遵室與高階管理層審查之用，不對外流通。文件所載之利率結構、情境試算與示意性機率權重均基於上列公開市場資料整理與方法論估算，不構成收益保證或市場預測，實際執行結果仍受市場條件變動影響，各項即時利率請以平台當下公告為準。</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497B0"/>
        <w:sz w:val="16"/>
        <w:szCs w:val="16"/>
      </w:rPr>
      <w:t xml:space="preserve">第 </w:t>
    </w:r>
    <w:r>
      <w:rPr>
        <w:rFonts w:ascii="Microsoft JhengHei" w:cs="Microsoft JhengHei" w:eastAsia="Microsoft JhengHei" w:hAnsi="Microsoft JhengHei"/>
        <w:color w:val="8497B0"/>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8497B0"/>
        <w:sz w:val="16"/>
        <w:szCs w:val="16"/>
      </w:rPr>
      <w:t xml:space="preserve"> 頁，共 </w:t>
    </w:r>
    <w:r>
      <w:rPr>
        <w:rFonts w:ascii="Microsoft JhengHei" w:cs="Microsoft JhengHei" w:eastAsia="Microsoft JhengHei" w:hAnsi="Microsoft JhengHei"/>
        <w:color w:val="8497B0"/>
        <w:sz w:val="16"/>
        <w:szCs w:val="16"/>
      </w:rPr>
      <w:fldChar w:fldCharType="begin"/>
      <w:instrText xml:space="preserve">NUMPAGES</w:instrText>
      <w:fldChar w:fldCharType="separate"/>
      <w:fldChar w:fldCharType="end"/>
    </w:r>
    <w:r>
      <w:rPr>
        <w:rFonts w:ascii="Microsoft JhengHei" w:cs="Microsoft JhengHei" w:eastAsia="Microsoft JhengHei" w:hAnsi="Microsoft JhengHei"/>
        <w:color w:val="8497B0"/>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8497B0"/>
        <w:sz w:val="16"/>
        <w:szCs w:val="16"/>
      </w:rPr>
      <w:t xml:space="preserve">TSGEX 資產管理部｜內部機密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2026-09-05T15:23:08.230Z</dcterms:created>
  <dcterms:modified xsi:type="dcterms:W3CDTF">2026-09-05T15:23:08.243Z</dcterms:modified>
</cp:coreProperties>
</file>

<file path=docProps/custom.xml><?xml version="1.0" encoding="utf-8"?>
<Properties xmlns="http://schemas.openxmlformats.org/officeDocument/2006/custom-properties" xmlns:vt="http://schemas.openxmlformats.org/officeDocument/2006/docPropsVTypes"/>
</file>