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00"/>
        <w:jc w:val="center"/>
      </w:pPr>
      <w:r>
        <w:rPr>
          <w:rFonts w:ascii="Microsoft JhengHei" w:cs="Microsoft JhengHei" w:eastAsia="Microsoft JhengHei" w:hAnsi="Microsoft JhengHei"/>
          <w:b/>
          <w:bCs/>
          <w:color w:val="1F3864"/>
          <w:sz w:val="32"/>
          <w:szCs w:val="32"/>
        </w:rPr>
        <w:t xml:space="preserve">TSGEX 資產管理部</w:t>
      </w:r>
    </w:p>
    <w:p>
      <w:pPr>
        <w:spacing w:after="100"/>
        <w:jc w:val="center"/>
      </w:pPr>
      <w:r>
        <w:rPr>
          <w:rFonts w:ascii="Microsoft JhengHei" w:cs="Microsoft JhengHei" w:eastAsia="Microsoft JhengHei" w:hAnsi="Microsoft JhengHei"/>
          <w:b/>
          <w:bCs/>
          <w:color w:val="1F3864"/>
          <w:sz w:val="40"/>
          <w:szCs w:val="40"/>
        </w:rPr>
        <w:t xml:space="preserve">Bitfinex USD 保證金融資出借（Margin Funding）</w:t>
      </w:r>
    </w:p>
    <w:p>
      <w:pPr>
        <w:spacing w:after="100"/>
        <w:jc w:val="center"/>
      </w:pPr>
      <w:r>
        <w:rPr>
          <w:rFonts w:ascii="Microsoft JhengHei" w:cs="Microsoft JhengHei" w:eastAsia="Microsoft JhengHei" w:hAnsi="Microsoft JhengHei"/>
          <w:b/>
          <w:bCs/>
          <w:color w:val="1F3864"/>
          <w:sz w:val="40"/>
          <w:szCs w:val="40"/>
        </w:rPr>
        <w:t xml:space="preserve">流動性收益優化計畫</w:t>
      </w:r>
    </w:p>
    <w:p>
      <w:pPr>
        <w:spacing w:after="500"/>
        <w:jc w:val="center"/>
      </w:pPr>
      <w:r>
        <w:rPr>
          <w:rFonts w:ascii="Microsoft JhengHei" w:cs="Microsoft JhengHei" w:eastAsia="Microsoft JhengHei" w:hAnsi="Microsoft JhengHei"/>
          <w:b/>
          <w:bCs/>
          <w:color w:val="44546A"/>
          <w:sz w:val="30"/>
          <w:szCs w:val="30"/>
        </w:rPr>
        <w:t xml:space="preserve">內部可行性與風險評估報告</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9DB3C8" w:sz="4"/>
              <w:left w:val="single" w:color="9DB3C8" w:sz="4"/>
              <w:bottom w:val="single" w:color="9DB3C8" w:sz="4"/>
              <w:right w:val="single" w:color="9DB3C8" w:sz="4"/>
            </w:tcBorders>
            <w:shd w:fill="DCE6F1" w:val="clear"/>
            <w:tcMar>
              <w:top w:type="dxa" w:w="100"/>
              <w:left w:type="dxa" w:w="120"/>
              <w:bottom w:type="dxa" w:w="100"/>
              <w:right w:type="dxa" w:w="120"/>
            </w:tcMar>
            <w:vAlign w:val="center"/>
          </w:tcPr>
          <w:p>
            <w:r>
              <w:rPr>
                <w:rFonts w:ascii="Microsoft JhengHei" w:cs="Microsoft JhengHei" w:eastAsia="Microsoft JhengHei" w:hAnsi="Microsoft JhengHei"/>
                <w:b/>
                <w:bCs/>
                <w:sz w:val="21"/>
                <w:szCs w:val="21"/>
              </w:rPr>
              <w:t xml:space="preserve">提案單位</w:t>
            </w:r>
          </w:p>
        </w:tc>
        <w:tc>
          <w:tcPr>
            <w:tcW w:type="dxa" w:w="7150"/>
            <w:tcBorders>
              <w:top w:val="single" w:color="9DB3C8" w:sz="4"/>
              <w:left w:val="single" w:color="9DB3C8" w:sz="4"/>
              <w:bottom w:val="single" w:color="9DB3C8" w:sz="4"/>
              <w:right w:val="single" w:color="9DB3C8" w:sz="4"/>
            </w:tcBorders>
            <w:tcMar>
              <w:top w:type="dxa" w:w="100"/>
              <w:left w:type="dxa" w:w="120"/>
              <w:bottom w:type="dxa" w:w="100"/>
              <w:right w:type="dxa" w:w="120"/>
            </w:tcMar>
            <w:vAlign w:val="center"/>
          </w:tcPr>
          <w:p>
            <w:r>
              <w:rPr>
                <w:rFonts w:ascii="Microsoft JhengHei" w:cs="Microsoft JhengHei" w:eastAsia="Microsoft JhengHei" w:hAnsi="Microsoft JhengHei"/>
                <w:sz w:val="21"/>
                <w:szCs w:val="21"/>
              </w:rPr>
              <w:t xml:space="preserve">TSGEX 資產管理部（Asset Management Department）</w:t>
            </w:r>
          </w:p>
        </w:tc>
      </w:tr>
      <w:tr>
        <w:tc>
          <w:tcPr>
            <w:tcW w:type="dxa" w:w="2200"/>
            <w:tcBorders>
              <w:top w:val="single" w:color="9DB3C8" w:sz="4"/>
              <w:left w:val="single" w:color="9DB3C8" w:sz="4"/>
              <w:bottom w:val="single" w:color="9DB3C8" w:sz="4"/>
              <w:right w:val="single" w:color="9DB3C8" w:sz="4"/>
            </w:tcBorders>
            <w:shd w:fill="DCE6F1" w:val="clear"/>
            <w:tcMar>
              <w:top w:type="dxa" w:w="100"/>
              <w:left w:type="dxa" w:w="120"/>
              <w:bottom w:type="dxa" w:w="100"/>
              <w:right w:type="dxa" w:w="120"/>
            </w:tcMar>
            <w:vAlign w:val="center"/>
          </w:tcPr>
          <w:p>
            <w:r>
              <w:rPr>
                <w:rFonts w:ascii="Microsoft JhengHei" w:cs="Microsoft JhengHei" w:eastAsia="Microsoft JhengHei" w:hAnsi="Microsoft JhengHei"/>
                <w:b/>
                <w:bCs/>
                <w:sz w:val="21"/>
                <w:szCs w:val="21"/>
              </w:rPr>
              <w:t xml:space="preserve">審查對象</w:t>
            </w:r>
          </w:p>
        </w:tc>
        <w:tc>
          <w:tcPr>
            <w:tcW w:type="dxa" w:w="7150"/>
            <w:tcBorders>
              <w:top w:val="single" w:color="9DB3C8" w:sz="4"/>
              <w:left w:val="single" w:color="9DB3C8" w:sz="4"/>
              <w:bottom w:val="single" w:color="9DB3C8" w:sz="4"/>
              <w:right w:val="single" w:color="9DB3C8" w:sz="4"/>
            </w:tcBorders>
            <w:tcMar>
              <w:top w:type="dxa" w:w="100"/>
              <w:left w:type="dxa" w:w="120"/>
              <w:bottom w:type="dxa" w:w="100"/>
              <w:right w:type="dxa" w:w="120"/>
            </w:tcMar>
            <w:vAlign w:val="center"/>
          </w:tcPr>
          <w:p>
            <w:r>
              <w:rPr>
                <w:rFonts w:ascii="Microsoft JhengHei" w:cs="Microsoft JhengHei" w:eastAsia="Microsoft JhengHei" w:hAnsi="Microsoft JhengHei"/>
                <w:sz w:val="21"/>
                <w:szCs w:val="21"/>
              </w:rPr>
              <w:t xml:space="preserve">公司財務部（Treasury &amp; Finance Department）、風控委員會、投資委員會（IC）、高階管理層</w:t>
            </w:r>
          </w:p>
        </w:tc>
      </w:tr>
      <w:tr>
        <w:tc>
          <w:tcPr>
            <w:tcW w:type="dxa" w:w="2200"/>
            <w:tcBorders>
              <w:top w:val="single" w:color="9DB3C8" w:sz="4"/>
              <w:left w:val="single" w:color="9DB3C8" w:sz="4"/>
              <w:bottom w:val="single" w:color="9DB3C8" w:sz="4"/>
              <w:right w:val="single" w:color="9DB3C8" w:sz="4"/>
            </w:tcBorders>
            <w:shd w:fill="DCE6F1" w:val="clear"/>
            <w:tcMar>
              <w:top w:type="dxa" w:w="100"/>
              <w:left w:type="dxa" w:w="120"/>
              <w:bottom w:type="dxa" w:w="100"/>
              <w:right w:type="dxa" w:w="120"/>
            </w:tcMar>
            <w:vAlign w:val="center"/>
          </w:tcPr>
          <w:p>
            <w:r>
              <w:rPr>
                <w:rFonts w:ascii="Microsoft JhengHei" w:cs="Microsoft JhengHei" w:eastAsia="Microsoft JhengHei" w:hAnsi="Microsoft JhengHei"/>
                <w:b/>
                <w:bCs/>
                <w:sz w:val="21"/>
                <w:szCs w:val="21"/>
              </w:rPr>
              <w:t xml:space="preserve">資金屬性</w:t>
            </w:r>
          </w:p>
        </w:tc>
        <w:tc>
          <w:tcPr>
            <w:tcW w:type="dxa" w:w="7150"/>
            <w:tcBorders>
              <w:top w:val="single" w:color="9DB3C8" w:sz="4"/>
              <w:left w:val="single" w:color="9DB3C8" w:sz="4"/>
              <w:bottom w:val="single" w:color="9DB3C8" w:sz="4"/>
              <w:right w:val="single" w:color="9DB3C8" w:sz="4"/>
            </w:tcBorders>
            <w:tcMar>
              <w:top w:type="dxa" w:w="100"/>
              <w:left w:type="dxa" w:w="120"/>
              <w:bottom w:type="dxa" w:w="100"/>
              <w:right w:type="dxa" w:w="120"/>
            </w:tcMar>
            <w:vAlign w:val="center"/>
          </w:tcPr>
          <w:p>
            <w:r>
              <w:rPr>
                <w:rFonts w:ascii="Microsoft JhengHei" w:cs="Microsoft JhengHei" w:eastAsia="Microsoft JhengHei" w:hAnsi="Microsoft JhengHei"/>
                <w:sz w:val="21"/>
                <w:szCs w:val="21"/>
              </w:rPr>
              <w:t xml:space="preserve">100% 公司自有美元流動資金（Proprietary Equity Capital）</w:t>
            </w:r>
          </w:p>
        </w:tc>
      </w:tr>
      <w:tr>
        <w:tc>
          <w:tcPr>
            <w:tcW w:type="dxa" w:w="2200"/>
            <w:tcBorders>
              <w:top w:val="single" w:color="9DB3C8" w:sz="4"/>
              <w:left w:val="single" w:color="9DB3C8" w:sz="4"/>
              <w:bottom w:val="single" w:color="9DB3C8" w:sz="4"/>
              <w:right w:val="single" w:color="9DB3C8" w:sz="4"/>
            </w:tcBorders>
            <w:shd w:fill="DCE6F1" w:val="clear"/>
            <w:tcMar>
              <w:top w:type="dxa" w:w="100"/>
              <w:left w:type="dxa" w:w="120"/>
              <w:bottom w:type="dxa" w:w="100"/>
              <w:right w:type="dxa" w:w="120"/>
            </w:tcMar>
            <w:vAlign w:val="center"/>
          </w:tcPr>
          <w:p>
            <w:r>
              <w:rPr>
                <w:rFonts w:ascii="Microsoft JhengHei" w:cs="Microsoft JhengHei" w:eastAsia="Microsoft JhengHei" w:hAnsi="Microsoft JhengHei"/>
                <w:b/>
                <w:bCs/>
                <w:sz w:val="21"/>
                <w:szCs w:val="21"/>
              </w:rPr>
              <w:t xml:space="preserve">文件性質</w:t>
            </w:r>
          </w:p>
        </w:tc>
        <w:tc>
          <w:tcPr>
            <w:tcW w:type="dxa" w:w="7150"/>
            <w:tcBorders>
              <w:top w:val="single" w:color="9DB3C8" w:sz="4"/>
              <w:left w:val="single" w:color="9DB3C8" w:sz="4"/>
              <w:bottom w:val="single" w:color="9DB3C8" w:sz="4"/>
              <w:right w:val="single" w:color="9DB3C8" w:sz="4"/>
            </w:tcBorders>
            <w:tcMar>
              <w:top w:type="dxa" w:w="100"/>
              <w:left w:type="dxa" w:w="120"/>
              <w:bottom w:type="dxa" w:w="100"/>
              <w:right w:type="dxa" w:w="120"/>
            </w:tcMar>
            <w:vAlign w:val="center"/>
          </w:tcPr>
          <w:p>
            <w:r>
              <w:rPr>
                <w:rFonts w:ascii="Microsoft JhengHei" w:cs="Microsoft JhengHei" w:eastAsia="Microsoft JhengHei" w:hAnsi="Microsoft JhengHei"/>
                <w:sz w:val="21"/>
                <w:szCs w:val="21"/>
              </w:rPr>
              <w:t xml:space="preserve">內部可行性評估報告（Internal Feasibility &amp; Risk Assessment）</w:t>
            </w:r>
          </w:p>
        </w:tc>
      </w:tr>
      <w:tr>
        <w:tc>
          <w:tcPr>
            <w:tcW w:type="dxa" w:w="2200"/>
            <w:tcBorders>
              <w:top w:val="single" w:color="9DB3C8" w:sz="4"/>
              <w:left w:val="single" w:color="9DB3C8" w:sz="4"/>
              <w:bottom w:val="single" w:color="9DB3C8" w:sz="4"/>
              <w:right w:val="single" w:color="9DB3C8" w:sz="4"/>
            </w:tcBorders>
            <w:shd w:fill="DCE6F1" w:val="clear"/>
            <w:tcMar>
              <w:top w:type="dxa" w:w="100"/>
              <w:left w:type="dxa" w:w="120"/>
              <w:bottom w:type="dxa" w:w="100"/>
              <w:right w:type="dxa" w:w="120"/>
            </w:tcMar>
            <w:vAlign w:val="center"/>
          </w:tcPr>
          <w:p>
            <w:r>
              <w:rPr>
                <w:rFonts w:ascii="Microsoft JhengHei" w:cs="Microsoft JhengHei" w:eastAsia="Microsoft JhengHei" w:hAnsi="Microsoft JhengHei"/>
                <w:b/>
                <w:bCs/>
                <w:sz w:val="21"/>
                <w:szCs w:val="21"/>
              </w:rPr>
              <w:t xml:space="preserve">報告日期</w:t>
            </w:r>
          </w:p>
        </w:tc>
        <w:tc>
          <w:tcPr>
            <w:tcW w:type="dxa" w:w="7150"/>
            <w:tcBorders>
              <w:top w:val="single" w:color="9DB3C8" w:sz="4"/>
              <w:left w:val="single" w:color="9DB3C8" w:sz="4"/>
              <w:bottom w:val="single" w:color="9DB3C8" w:sz="4"/>
              <w:right w:val="single" w:color="9DB3C8" w:sz="4"/>
            </w:tcBorders>
            <w:tcMar>
              <w:top w:type="dxa" w:w="100"/>
              <w:left w:type="dxa" w:w="120"/>
              <w:bottom w:type="dxa" w:w="100"/>
              <w:right w:type="dxa" w:w="120"/>
            </w:tcMar>
            <w:vAlign w:val="center"/>
          </w:tcPr>
          <w:p>
            <w:r>
              <w:rPr>
                <w:rFonts w:ascii="Microsoft JhengHei" w:cs="Microsoft JhengHei" w:eastAsia="Microsoft JhengHei" w:hAnsi="Microsoft JhengHei"/>
                <w:sz w:val="21"/>
                <w:szCs w:val="21"/>
              </w:rPr>
              <w:t xml:space="preserve">2026-09-04</w:t>
            </w:r>
          </w:p>
        </w:tc>
      </w:tr>
      <w:tr>
        <w:tc>
          <w:tcPr>
            <w:tcW w:type="dxa" w:w="2200"/>
            <w:tcBorders>
              <w:top w:val="single" w:color="9DB3C8" w:sz="4"/>
              <w:left w:val="single" w:color="9DB3C8" w:sz="4"/>
              <w:bottom w:val="single" w:color="9DB3C8" w:sz="4"/>
              <w:right w:val="single" w:color="9DB3C8" w:sz="4"/>
            </w:tcBorders>
            <w:shd w:fill="DCE6F1" w:val="clear"/>
            <w:tcMar>
              <w:top w:type="dxa" w:w="100"/>
              <w:left w:type="dxa" w:w="120"/>
              <w:bottom w:type="dxa" w:w="100"/>
              <w:right w:type="dxa" w:w="120"/>
            </w:tcMar>
            <w:vAlign w:val="center"/>
          </w:tcPr>
          <w:p>
            <w:r>
              <w:rPr>
                <w:rFonts w:ascii="Microsoft JhengHei" w:cs="Microsoft JhengHei" w:eastAsia="Microsoft JhengHei" w:hAnsi="Microsoft JhengHei"/>
                <w:b/>
                <w:bCs/>
                <w:sz w:val="21"/>
                <w:szCs w:val="21"/>
              </w:rPr>
              <w:t xml:space="preserve">保密等級</w:t>
            </w:r>
          </w:p>
        </w:tc>
        <w:tc>
          <w:tcPr>
            <w:tcW w:type="dxa" w:w="7150"/>
            <w:tcBorders>
              <w:top w:val="single" w:color="9DB3C8" w:sz="4"/>
              <w:left w:val="single" w:color="9DB3C8" w:sz="4"/>
              <w:bottom w:val="single" w:color="9DB3C8" w:sz="4"/>
              <w:right w:val="single" w:color="9DB3C8" w:sz="4"/>
            </w:tcBorders>
            <w:tcMar>
              <w:top w:type="dxa" w:w="100"/>
              <w:left w:type="dxa" w:w="120"/>
              <w:bottom w:type="dxa" w:w="100"/>
              <w:right w:type="dxa" w:w="120"/>
            </w:tcMar>
            <w:vAlign w:val="center"/>
          </w:tcPr>
          <w:p>
            <w:r>
              <w:rPr>
                <w:rFonts w:ascii="Microsoft JhengHei" w:cs="Microsoft JhengHei" w:eastAsia="Microsoft JhengHei" w:hAnsi="Microsoft JhengHei"/>
                <w:sz w:val="21"/>
                <w:szCs w:val="21"/>
              </w:rPr>
              <w:t xml:space="preserve">內部機密（Internal Confidential）</w:t>
            </w:r>
          </w:p>
        </w:tc>
      </w:tr>
    </w:tbl>
    <w:p>
      <w:r>
        <w:br w:type="page"/>
      </w:r>
    </w:p>
    <w:p>
      <w:pPr>
        <w:pStyle w:val="Heading1"/>
        <w:pBdr>
          <w:bottom w:val="single" w:color="1F3864" w:sz="6"/>
        </w:pBdr>
        <w:spacing w:after="200" w:before="400"/>
      </w:pPr>
      <w:r>
        <w:rPr>
          <w:rFonts w:ascii="Microsoft JhengHei" w:cs="Microsoft JhengHei" w:eastAsia="Microsoft JhengHei" w:hAnsi="Microsoft JhengHei"/>
          <w:b/>
          <w:bCs/>
          <w:color w:val="1F3864"/>
          <w:sz w:val="30"/>
          <w:szCs w:val="30"/>
        </w:rPr>
        <w:t xml:space="preserve">1. 執行摘要（Executive Summary）</w:t>
      </w:r>
    </w:p>
    <w:p>
      <w:pPr>
        <w:pStyle w:val="Heading2"/>
        <w:spacing w:after="140" w:before="300"/>
      </w:pPr>
      <w:r>
        <w:rPr>
          <w:rFonts w:ascii="Microsoft JhengHei" w:cs="Microsoft JhengHei" w:eastAsia="Microsoft JhengHei" w:hAnsi="Microsoft JhengHei"/>
          <w:b/>
          <w:bCs/>
          <w:color w:val="1F3864"/>
          <w:sz w:val="25"/>
          <w:szCs w:val="25"/>
        </w:rPr>
        <w:t xml:space="preserve">1.1 提案背景</w:t>
      </w:r>
    </w:p>
    <w:p>
      <w:pPr>
        <w:spacing w:after="160" w:line="300"/>
      </w:pPr>
      <w:r>
        <w:rPr>
          <w:rFonts w:ascii="Microsoft JhengHei" w:cs="Microsoft JhengHei" w:eastAsia="Microsoft JhengHei" w:hAnsi="Microsoft JhengHei"/>
          <w:sz w:val="21"/>
          <w:szCs w:val="21"/>
        </w:rPr>
        <w:t xml:space="preserve">TSGEX 資產管理部（以下簡稱「本部門」）長期持有一定規模之公司自有美元流動資金，用以支應日常營運調度、風控保證金部位及策略性資本配置。在現行銀行體系美元活存利率偏低、且短期國庫券（T-Bill）與貨幣市場基金收益率已無法有效反映加密貨幣槓桿融資市場實際資金需求的環境下，本部門評估將</w:t>
      </w:r>
      <w:r>
        <w:rPr>
          <w:rFonts w:ascii="Microsoft JhengHei" w:cs="Microsoft JhengHei" w:eastAsia="Microsoft JhengHei" w:hAnsi="Microsoft JhengHei"/>
          <w:b/>
          <w:bCs/>
          <w:sz w:val="21"/>
          <w:szCs w:val="21"/>
        </w:rPr>
        <w:t xml:space="preserve">部分閒置美元流動資金</w:t>
      </w:r>
      <w:r>
        <w:rPr>
          <w:rFonts w:ascii="Microsoft JhengHei" w:cs="Microsoft JhengHei" w:eastAsia="Microsoft JhengHei" w:hAnsi="Microsoft JhengHei"/>
          <w:sz w:val="21"/>
          <w:szCs w:val="21"/>
        </w:rPr>
        <w:t xml:space="preserve">投入 </w:t>
      </w:r>
      <w:r>
        <w:rPr>
          <w:rFonts w:ascii="Microsoft JhengHei" w:cs="Microsoft JhengHei" w:eastAsia="Microsoft JhengHei" w:hAnsi="Microsoft JhengHei"/>
          <w:b/>
          <w:bCs/>
          <w:sz w:val="21"/>
          <w:szCs w:val="21"/>
        </w:rPr>
        <w:t xml:space="preserve">Bitfinex 美元保證金融資出借（USD Margin Funding）市場</w:t>
      </w:r>
      <w:r>
        <w:rPr>
          <w:rFonts w:ascii="Microsoft JhengHei" w:cs="Microsoft JhengHei" w:eastAsia="Microsoft JhengHei" w:hAnsi="Microsoft JhengHei"/>
          <w:sz w:val="21"/>
          <w:szCs w:val="21"/>
        </w:rPr>
        <w:t xml:space="preserve">，作為公司資產負債表流動性資產之收益增強（Yield Enhancement）策略。</w:t>
      </w:r>
    </w:p>
    <w:p>
      <w:pPr>
        <w:spacing w:after="160" w:line="300"/>
      </w:pPr>
      <w:r>
        <w:rPr>
          <w:rFonts w:ascii="Microsoft JhengHei" w:cs="Microsoft JhengHei" w:eastAsia="Microsoft JhengHei" w:hAnsi="Microsoft JhengHei"/>
          <w:sz w:val="21"/>
          <w:szCs w:val="21"/>
        </w:rPr>
        <w:t xml:space="preserve">本計畫之核心定位為：</w:t>
      </w:r>
    </w:p>
    <w:p>
      <w:pPr>
        <w:pBdr>
          <w:left w:val="single" w:color="1F3864" w:sz="18"/>
        </w:pBdr>
        <w:shd w:fill="F2F2F2" w:val="clear"/>
        <w:spacing w:after="200" w:before="120"/>
        <w:ind w:left="360"/>
      </w:pPr>
      <w:r>
        <w:rPr>
          <w:rFonts w:ascii="Microsoft JhengHei" w:cs="Microsoft JhengHei" w:eastAsia="Microsoft JhengHei" w:hAnsi="Microsoft JhengHei"/>
          <w:i/>
          <w:iCs/>
          <w:sz w:val="21"/>
          <w:szCs w:val="21"/>
        </w:rPr>
        <w:t xml:space="preserve">在嚴格資金隔離、零用戶資產混用、且本金以零波動法幣美元計價之前提下，透過出借予受監管保證金交易市場之槓桿交易者，賺取遠高於傳統無風險利率之短期流動性溢價。</w:t>
      </w:r>
    </w:p>
    <w:p>
      <w:pPr>
        <w:pStyle w:val="Heading2"/>
        <w:spacing w:after="140" w:before="300"/>
      </w:pPr>
      <w:r>
        <w:rPr>
          <w:rFonts w:ascii="Microsoft JhengHei" w:cs="Microsoft JhengHei" w:eastAsia="Microsoft JhengHei" w:hAnsi="Microsoft JhengHei"/>
          <w:b/>
          <w:bCs/>
          <w:color w:val="1F3864"/>
          <w:sz w:val="25"/>
          <w:szCs w:val="25"/>
        </w:rPr>
        <w:t xml:space="preserve">1.2 策略定位</w:t>
      </w:r>
    </w:p>
    <w:p>
      <w:pPr>
        <w:spacing w:after="160" w:line="300"/>
      </w:pPr>
      <w:r>
        <w:rPr>
          <w:rFonts w:ascii="Microsoft JhengHei" w:cs="Microsoft JhengHei" w:eastAsia="Microsoft JhengHei" w:hAnsi="Microsoft JhengHei"/>
          <w:sz w:val="21"/>
          <w:szCs w:val="21"/>
        </w:rPr>
        <w:t xml:space="preserve">本策略屬於資產管理部「美元閒置資金收益優化」項下之</w:t>
      </w:r>
      <w:r>
        <w:rPr>
          <w:rFonts w:ascii="Microsoft JhengHei" w:cs="Microsoft JhengHei" w:eastAsia="Microsoft JhengHei" w:hAnsi="Microsoft JhengHei"/>
          <w:b/>
          <w:bCs/>
          <w:sz w:val="21"/>
          <w:szCs w:val="21"/>
        </w:rPr>
        <w:t xml:space="preserve">低波動、高流動性、防禦性收益（Defensive Yield）</w:t>
      </w:r>
      <w:r>
        <w:rPr>
          <w:rFonts w:ascii="Microsoft JhengHei" w:cs="Microsoft JhengHei" w:eastAsia="Microsoft JhengHei" w:hAnsi="Microsoft JhengHei"/>
          <w:sz w:val="21"/>
          <w:szCs w:val="21"/>
        </w:rPr>
        <w:t xml:space="preserve">類別，與部門既有之法幣資產配置、外幣避險部位形成互補，</w:t>
      </w:r>
      <w:r>
        <w:rPr>
          <w:rFonts w:ascii="Microsoft JhengHei" w:cs="Microsoft JhengHei" w:eastAsia="Microsoft JhengHei" w:hAnsi="Microsoft JhengHei"/>
          <w:b/>
          <w:bCs/>
          <w:sz w:val="21"/>
          <w:szCs w:val="21"/>
        </w:rPr>
        <w:t xml:space="preserve">不涉及任何方向性加密貨幣曝險（Directional Crypto Exposure）</w:t>
      </w:r>
      <w:r>
        <w:rPr>
          <w:rFonts w:ascii="Microsoft JhengHei" w:cs="Microsoft JhengHei" w:eastAsia="Microsoft JhengHei" w:hAnsi="Microsoft JhengHei"/>
          <w:sz w:val="21"/>
          <w:szCs w:val="21"/>
        </w:rPr>
        <w:t xml:space="preserve">，亦不涉及任何客戶／用戶託管資產（Segregation of Funds 原則絕對遵循）。</w:t>
      </w:r>
    </w:p>
    <w:p>
      <w:pPr>
        <w:pStyle w:val="Heading2"/>
        <w:spacing w:after="140" w:before="300"/>
      </w:pPr>
      <w:r>
        <w:rPr>
          <w:rFonts w:ascii="Microsoft JhengHei" w:cs="Microsoft JhengHei" w:eastAsia="Microsoft JhengHei" w:hAnsi="Microsoft JhengHei"/>
          <w:b/>
          <w:bCs/>
          <w:color w:val="1F3864"/>
          <w:sz w:val="25"/>
          <w:szCs w:val="25"/>
        </w:rPr>
        <w:t xml:space="preserve">1.3 核心財務指標</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0"/>
      </w:tblGrid>
      <w:tr>
        <w:trPr>
          <w:tblHeader/>
        </w:trPr>
        <w:tc>
          <w:tcPr>
            <w:tcW w:type="dxa" w:w="26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指標</w:t>
            </w:r>
          </w:p>
        </w:tc>
        <w:tc>
          <w:tcPr>
            <w:tcW w:type="dxa" w:w="32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數值</w:t>
            </w:r>
          </w:p>
        </w:tc>
        <w:tc>
          <w:tcPr>
            <w:tcW w:type="dxa" w:w="35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說明</w:t>
            </w:r>
          </w:p>
        </w:tc>
      </w:tr>
      <w:tr>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保守目標淨年化收益率（Net APY）</w:t>
            </w:r>
          </w:p>
        </w:tc>
        <w:tc>
          <w:tcPr>
            <w:tcW w:type="dxa" w:w="32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6.0% – 8.0%+</w:t>
            </w:r>
          </w:p>
        </w:tc>
        <w:tc>
          <w:tcPr>
            <w:tcW w:type="dxa" w:w="35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已扣除 Bitfinex 平台 15% 服務費後之淨收益</w:t>
            </w:r>
          </w:p>
        </w:tc>
      </w:tr>
      <w:tr>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財務基準指標（Hurdle Rate）</w:t>
            </w:r>
          </w:p>
        </w:tc>
        <w:tc>
          <w:tcPr>
            <w:tcW w:type="dxa" w:w="32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SOFR / 3M T-Bill ≈ 4.5% + 150–200 bps</w:t>
            </w:r>
          </w:p>
        </w:tc>
        <w:tc>
          <w:tcPr>
            <w:tcW w:type="dxa" w:w="35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流動性風險溢價</w:t>
            </w:r>
          </w:p>
        </w:tc>
      </w:tr>
      <w:tr>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目標超額利差（Target Spread）</w:t>
            </w:r>
          </w:p>
        </w:tc>
        <w:tc>
          <w:tcPr>
            <w:tcW w:type="dxa" w:w="32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+150 至 +350 bps（甚至更高）</w:t>
            </w:r>
          </w:p>
        </w:tc>
        <w:tc>
          <w:tcPr>
            <w:tcW w:type="dxa" w:w="35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相較美元無風險利率之超額報酬</w:t>
            </w:r>
          </w:p>
        </w:tc>
      </w:tr>
      <w:tr>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單一平台曝險上限</w:t>
            </w:r>
          </w:p>
        </w:tc>
        <w:tc>
          <w:tcPr>
            <w:tcW w:type="dxa" w:w="32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資產管理部可運用美元總資產之 10%–15%</w:t>
            </w:r>
          </w:p>
        </w:tc>
        <w:tc>
          <w:tcPr>
            <w:tcW w:type="dxa" w:w="35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風控硬性規範</w:t>
            </w:r>
          </w:p>
        </w:tc>
      </w:tr>
      <w:tr>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資金屬性</w:t>
            </w:r>
          </w:p>
        </w:tc>
        <w:tc>
          <w:tcPr>
            <w:tcW w:type="dxa" w:w="32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100% 自有資金</w:t>
            </w:r>
          </w:p>
        </w:tc>
        <w:tc>
          <w:tcPr>
            <w:tcW w:type="dxa" w:w="35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不涉用戶資產、不涉信用槓桿放大</w:t>
            </w:r>
          </w:p>
        </w:tc>
      </w:tr>
    </w:tbl>
    <w:p>
      <w:pPr>
        <w:spacing w:before="200"/>
      </w:pPr>
    </w:p>
    <w:p>
      <w:pPr>
        <w:pStyle w:val="Heading2"/>
        <w:spacing w:after="140" w:before="300"/>
      </w:pPr>
      <w:r>
        <w:rPr>
          <w:rFonts w:ascii="Microsoft JhengHei" w:cs="Microsoft JhengHei" w:eastAsia="Microsoft JhengHei" w:hAnsi="Microsoft JhengHei"/>
          <w:b/>
          <w:bCs/>
          <w:color w:val="1F3864"/>
          <w:sz w:val="25"/>
          <w:szCs w:val="25"/>
        </w:rPr>
        <w:t xml:space="preserve">1.4 結論與建議</w:t>
      </w:r>
    </w:p>
    <w:p>
      <w:pPr>
        <w:spacing w:after="160" w:line="300"/>
      </w:pPr>
      <w:r>
        <w:rPr>
          <w:rFonts w:ascii="Microsoft JhengHei" w:cs="Microsoft JhengHei" w:eastAsia="Microsoft JhengHei" w:hAnsi="Microsoft JhengHei"/>
          <w:sz w:val="21"/>
          <w:szCs w:val="21"/>
        </w:rPr>
        <w:t xml:space="preserve">本部門評估，在現行槓桿交易市場資金需求維持穩定（多空雙向槓桿部位均需支付借貸利息）之前提下，</w:t>
      </w:r>
      <w:r>
        <w:rPr>
          <w:rFonts w:ascii="Microsoft JhengHei" w:cs="Microsoft JhengHei" w:eastAsia="Microsoft JhengHei" w:hAnsi="Microsoft JhengHei"/>
          <w:b/>
          <w:bCs/>
          <w:sz w:val="21"/>
          <w:szCs w:val="21"/>
        </w:rPr>
        <w:t xml:space="preserve">Net APY 6.0% 為極具防禦性之保守底線</w:t>
      </w:r>
      <w:r>
        <w:rPr>
          <w:rFonts w:ascii="Microsoft JhengHei" w:cs="Microsoft JhengHei" w:eastAsia="Microsoft JhengHei" w:hAnsi="Microsoft JhengHei"/>
          <w:sz w:val="21"/>
          <w:szCs w:val="21"/>
        </w:rPr>
        <w:t xml:space="preserve">，於市場活躍期間歷史數據顯示 APR 可階段性突破 15%–30% 甚至更高。相較於公司美元活存或短天期國庫券之無風險報酬，本策略可望創造 </w:t>
      </w:r>
      <w:r>
        <w:rPr>
          <w:rFonts w:ascii="Microsoft JhengHei" w:cs="Microsoft JhengHei" w:eastAsia="Microsoft JhengHei" w:hAnsi="Microsoft JhengHei"/>
          <w:b/>
          <w:bCs/>
          <w:sz w:val="21"/>
          <w:szCs w:val="21"/>
        </w:rPr>
        <w:t xml:space="preserve">150–350 bps 以上之超額利差</w:t>
      </w:r>
      <w:r>
        <w:rPr>
          <w:rFonts w:ascii="Microsoft JhengHei" w:cs="Microsoft JhengHei" w:eastAsia="Microsoft JhengHei" w:hAnsi="Microsoft JhengHei"/>
          <w:sz w:val="21"/>
          <w:szCs w:val="21"/>
        </w:rPr>
        <w:t xml:space="preserve">，且透過「動態天期階梯」與「API 最小權限架構」雙重機制，將流動性風險與資安風險控制在財務部可接受之範圍內。</w:t>
      </w:r>
    </w:p>
    <w:p>
      <w:pPr>
        <w:spacing w:after="160" w:line="300"/>
      </w:pPr>
      <w:r>
        <w:rPr>
          <w:rFonts w:ascii="Microsoft JhengHei" w:cs="Microsoft JhengHei" w:eastAsia="Microsoft JhengHei" w:hAnsi="Microsoft JhengHei"/>
          <w:b/>
          <w:bCs/>
          <w:sz w:val="21"/>
          <w:szCs w:val="21"/>
        </w:rPr>
        <w:t xml:space="preserve">建議：</w:t>
      </w:r>
      <w:r>
        <w:rPr>
          <w:rFonts w:ascii="Microsoft JhengHei" w:cs="Microsoft JhengHei" w:eastAsia="Microsoft JhengHei" w:hAnsi="Microsoft JhengHei"/>
          <w:sz w:val="21"/>
          <w:szCs w:val="21"/>
        </w:rPr>
        <w:t xml:space="preserve"> 核准以不超過資產管理部可運用美元總資產 10% 之額度，啟動為期 3 個月之小額 PoC（概念驗證）試點，並依 PoC 成效滾動評估常態化額度。</w:t>
      </w:r>
    </w:p>
    <w:p>
      <w:pPr>
        <w:pStyle w:val="Heading1"/>
        <w:pBdr>
          <w:bottom w:val="single" w:color="1F3864" w:sz="6"/>
        </w:pBdr>
        <w:spacing w:after="200" w:before="400"/>
      </w:pPr>
      <w:r>
        <w:rPr>
          <w:rFonts w:ascii="Microsoft JhengHei" w:cs="Microsoft JhengHei" w:eastAsia="Microsoft JhengHei" w:hAnsi="Microsoft JhengHei"/>
          <w:b/>
          <w:bCs/>
          <w:color w:val="1F3864"/>
          <w:sz w:val="30"/>
          <w:szCs w:val="30"/>
        </w:rPr>
        <w:t xml:space="preserve">2. 標的選型與基礎背景分析（Platform &amp; Asset Rationale）</w:t>
      </w:r>
    </w:p>
    <w:p>
      <w:pPr>
        <w:pStyle w:val="Heading2"/>
        <w:spacing w:after="140" w:before="300"/>
      </w:pPr>
      <w:r>
        <w:rPr>
          <w:rFonts w:ascii="Microsoft JhengHei" w:cs="Microsoft JhengHei" w:eastAsia="Microsoft JhengHei" w:hAnsi="Microsoft JhengHei"/>
          <w:b/>
          <w:bCs/>
          <w:color w:val="1F3864"/>
          <w:sz w:val="25"/>
          <w:szCs w:val="25"/>
        </w:rPr>
        <w:t xml:space="preserve">2.1 Bitfinex 平台背景剖析</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項目</w:t>
            </w:r>
          </w:p>
        </w:tc>
        <w:tc>
          <w:tcPr>
            <w:tcW w:type="dxa" w:w="75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內容</w:t>
            </w:r>
          </w:p>
        </w:tc>
      </w:tr>
      <w:tr>
        <w:tc>
          <w:tcPr>
            <w:tcW w:type="dxa" w:w="18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成立時間</w:t>
            </w:r>
          </w:p>
        </w:tc>
        <w:tc>
          <w:tcPr>
            <w:tcW w:type="dxa" w:w="75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2012 年，為全球現存歷史最悠久之加密貨幣交易平台之一</w:t>
            </w:r>
          </w:p>
        </w:tc>
      </w:tr>
      <w:tr>
        <w:tc>
          <w:tcPr>
            <w:tcW w:type="dxa" w:w="18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市場定位</w:t>
            </w:r>
          </w:p>
        </w:tc>
        <w:tc>
          <w:tcPr>
            <w:tcW w:type="dxa" w:w="75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機構級加密貨幣現貨、保證金交易與法幣出入金服務商</w:t>
            </w:r>
          </w:p>
        </w:tc>
      </w:tr>
      <w:tr>
        <w:tc>
          <w:tcPr>
            <w:tcW w:type="dxa" w:w="18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核心優勢</w:t>
            </w:r>
          </w:p>
        </w:tc>
        <w:tc>
          <w:tcPr>
            <w:tcW w:type="dxa" w:w="75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全球美元 P2P 保證金融資出借（USD P2P Margin Funding）市場</w:t>
            </w:r>
            <w:r>
              <w:rPr>
                <w:rFonts w:ascii="Microsoft JhengHei" w:cs="Microsoft JhengHei" w:eastAsia="Microsoft JhengHei" w:hAnsi="Microsoft JhengHei"/>
                <w:b/>
                <w:bCs/>
                <w:sz w:val="19"/>
                <w:szCs w:val="19"/>
              </w:rPr>
              <w:t xml:space="preserve">深度最深、歷史最長</w:t>
            </w:r>
            <w:r>
              <w:rPr>
                <w:rFonts w:ascii="Microsoft JhengHei" w:cs="Microsoft JhengHei" w:eastAsia="Microsoft JhengHei" w:hAnsi="Microsoft JhengHei"/>
                <w:sz w:val="19"/>
                <w:szCs w:val="19"/>
              </w:rPr>
              <w:t xml:space="preserve">之搓合平台</w:t>
            </w:r>
          </w:p>
        </w:tc>
      </w:tr>
      <w:tr>
        <w:tc>
          <w:tcPr>
            <w:tcW w:type="dxa" w:w="18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壓力測試紀錄</w:t>
            </w:r>
          </w:p>
        </w:tc>
        <w:tc>
          <w:tcPr>
            <w:tcW w:type="dxa" w:w="75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歷經 2017–2018 大牛熊週期、2020 年 3 月「黑色星期四」全市場閃崩、2022 年 LUNA/FTX 連環信用事件等極端行情，其保證金撮合與強制平倉機制均維持正常運作，未發生出借人系統性損失事件</w:t>
            </w:r>
          </w:p>
        </w:tc>
      </w:tr>
      <w:tr>
        <w:tc>
          <w:tcPr>
            <w:tcW w:type="dxa" w:w="18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市場角色</w:t>
            </w:r>
          </w:p>
        </w:tc>
        <w:tc>
          <w:tcPr>
            <w:tcW w:type="dxa" w:w="75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目前為全球美元保證金融資（Funding Book）深度最大之中心化平台，日均出借規模與活躍借款人數居於同業前列</w:t>
            </w:r>
          </w:p>
        </w:tc>
      </w:tr>
    </w:tbl>
    <w:p>
      <w:pPr>
        <w:spacing w:before="200"/>
      </w:pPr>
    </w:p>
    <w:p>
      <w:pPr>
        <w:pStyle w:val="Heading2"/>
        <w:spacing w:after="140" w:before="300"/>
      </w:pPr>
      <w:r>
        <w:rPr>
          <w:rFonts w:ascii="Microsoft JhengHei" w:cs="Microsoft JhengHei" w:eastAsia="Microsoft JhengHei" w:hAnsi="Microsoft JhengHei"/>
          <w:b/>
          <w:bCs/>
          <w:color w:val="1F3864"/>
          <w:sz w:val="25"/>
          <w:szCs w:val="25"/>
        </w:rPr>
        <w:t xml:space="preserve">2.2 為什麼選擇 Bitfinex（橫向對比分析）</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550"/>
        <w:gridCol w:w="3600"/>
      </w:tblGrid>
      <w:tr>
        <w:trPr>
          <w:tblHeader/>
        </w:trPr>
        <w:tc>
          <w:tcPr>
            <w:tcW w:type="dxa" w:w="22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比較對象</w:t>
            </w:r>
          </w:p>
        </w:tc>
        <w:tc>
          <w:tcPr>
            <w:tcW w:type="dxa" w:w="35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主要限制</w:t>
            </w:r>
          </w:p>
        </w:tc>
        <w:tc>
          <w:tcPr>
            <w:tcW w:type="dxa" w:w="36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Bitfinex 之相對優勢</w:t>
            </w:r>
          </w:p>
        </w:tc>
      </w:tr>
      <w:tr>
        <w:tc>
          <w:tcPr>
            <w:tcW w:type="dxa" w:w="22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其他主流 CEX（自營理財 / 統一保證金理財產品）</w:t>
            </w:r>
          </w:p>
        </w:tc>
        <w:tc>
          <w:tcPr>
            <w:tcW w:type="dxa" w:w="35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多數平台之「理財」產品本質為</w:t>
            </w:r>
            <w:r>
              <w:rPr>
                <w:rFonts w:ascii="Microsoft JhengHei" w:cs="Microsoft JhengHei" w:eastAsia="Microsoft JhengHei" w:hAnsi="Microsoft JhengHei"/>
                <w:b/>
                <w:bCs/>
                <w:sz w:val="19"/>
                <w:szCs w:val="19"/>
              </w:rPr>
              <w:t xml:space="preserve">平台方信用中介</w:t>
            </w:r>
            <w:r>
              <w:rPr>
                <w:rFonts w:ascii="Microsoft JhengHei" w:cs="Microsoft JhengHei" w:eastAsia="Microsoft JhengHei" w:hAnsi="Microsoft JhengHei"/>
                <w:sz w:val="19"/>
                <w:szCs w:val="19"/>
              </w:rPr>
              <w:t xml:space="preserve">（用戶資金由平台自行運用、再承諾固定收益），出借人</w:t>
            </w:r>
            <w:r>
              <w:rPr>
                <w:rFonts w:ascii="Microsoft JhengHei" w:cs="Microsoft JhengHei" w:eastAsia="Microsoft JhengHei" w:hAnsi="Microsoft JhengHei"/>
                <w:b/>
                <w:bCs/>
                <w:sz w:val="19"/>
                <w:szCs w:val="19"/>
              </w:rPr>
              <w:t xml:space="preserve">無法直接觀察真實借貸撮合對手與利率形成機制</w:t>
            </w:r>
            <w:r>
              <w:rPr>
                <w:rFonts w:ascii="Microsoft JhengHei" w:cs="Microsoft JhengHei" w:eastAsia="Microsoft JhengHei" w:hAnsi="Microsoft JhengHei"/>
                <w:sz w:val="19"/>
                <w:szCs w:val="19"/>
              </w:rPr>
              <w:t xml:space="preserve">，屬於「黑箱式」信用曝險</w:t>
            </w:r>
          </w:p>
        </w:tc>
        <w:tc>
          <w:tcPr>
            <w:tcW w:type="dxa" w:w="3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Bitfinex 之 Margin Funding 為</w:t>
            </w:r>
            <w:r>
              <w:rPr>
                <w:rFonts w:ascii="Microsoft JhengHei" w:cs="Microsoft JhengHei" w:eastAsia="Microsoft JhengHei" w:hAnsi="Microsoft JhengHei"/>
                <w:b/>
                <w:bCs/>
                <w:sz w:val="19"/>
                <w:szCs w:val="19"/>
              </w:rPr>
              <w:t xml:space="preserve">公開訂單簿（Order Book）P2P 直接撮合</w:t>
            </w:r>
            <w:r>
              <w:rPr>
                <w:rFonts w:ascii="Microsoft JhengHei" w:cs="Microsoft JhengHei" w:eastAsia="Microsoft JhengHei" w:hAnsi="Microsoft JhengHei"/>
                <w:sz w:val="19"/>
                <w:szCs w:val="19"/>
              </w:rPr>
              <w:t xml:space="preserve">，出借利率由市場供需即時形成，出借人可即時查看撮合深度、加權平均利率與借款方保證金部位規模，資訊透明度顯著較高</w:t>
            </w:r>
          </w:p>
        </w:tc>
      </w:tr>
      <w:tr>
        <w:tc>
          <w:tcPr>
            <w:tcW w:type="dxa" w:w="22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DeFi 借貸協議（如 Aave、Compound）</w:t>
            </w:r>
          </w:p>
        </w:tc>
        <w:tc>
          <w:tcPr>
            <w:tcW w:type="dxa" w:w="35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存在</w:t>
            </w:r>
            <w:r>
              <w:rPr>
                <w:rFonts w:ascii="Microsoft JhengHei" w:cs="Microsoft JhengHei" w:eastAsia="Microsoft JhengHei" w:hAnsi="Microsoft JhengHei"/>
                <w:b/>
                <w:bCs/>
                <w:sz w:val="19"/>
                <w:szCs w:val="19"/>
              </w:rPr>
              <w:t xml:space="preserve">智能合約漏洞風險</w:t>
            </w:r>
            <w:r>
              <w:rPr>
                <w:rFonts w:ascii="Microsoft JhengHei" w:cs="Microsoft JhengHei" w:eastAsia="Microsoft JhengHei" w:hAnsi="Microsoft JhengHei"/>
                <w:sz w:val="19"/>
                <w:szCs w:val="19"/>
              </w:rPr>
              <w:t xml:space="preserve">（合約遭駭、經濟攻擊）、</w:t>
            </w:r>
            <w:r>
              <w:rPr>
                <w:rFonts w:ascii="Microsoft JhengHei" w:cs="Microsoft JhengHei" w:eastAsia="Microsoft JhengHei" w:hAnsi="Microsoft JhengHei"/>
                <w:b/>
                <w:bCs/>
                <w:sz w:val="19"/>
                <w:szCs w:val="19"/>
              </w:rPr>
              <w:t xml:space="preserve">預言機（Oracle）操縱與價格延遲風險</w:t>
            </w:r>
            <w:r>
              <w:rPr>
                <w:rFonts w:ascii="Microsoft JhengHei" w:cs="Microsoft JhengHei" w:eastAsia="Microsoft JhengHei" w:hAnsi="Microsoft JhengHei"/>
                <w:sz w:val="19"/>
                <w:szCs w:val="19"/>
              </w:rPr>
              <w:t xml:space="preserve">、</w:t>
            </w:r>
            <w:r>
              <w:rPr>
                <w:rFonts w:ascii="Microsoft JhengHei" w:cs="Microsoft JhengHei" w:eastAsia="Microsoft JhengHei" w:hAnsi="Microsoft JhengHei"/>
                <w:b/>
                <w:bCs/>
                <w:sz w:val="19"/>
                <w:szCs w:val="19"/>
              </w:rPr>
              <w:t xml:space="preserve">協議治理風險</w:t>
            </w:r>
            <w:r>
              <w:rPr>
                <w:rFonts w:ascii="Microsoft JhengHei" w:cs="Microsoft JhengHei" w:eastAsia="Microsoft JhengHei" w:hAnsi="Microsoft JhengHei"/>
                <w:sz w:val="19"/>
                <w:szCs w:val="19"/>
              </w:rPr>
              <w:t xml:space="preserve">（治理攻擊、參數異常變更），且歷史上多次發生千萬美元等級之協議層資安事件</w:t>
            </w:r>
          </w:p>
        </w:tc>
        <w:tc>
          <w:tcPr>
            <w:tcW w:type="dxa" w:w="3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Bitfinex 屬</w:t>
            </w:r>
            <w:r>
              <w:rPr>
                <w:rFonts w:ascii="Microsoft JhengHei" w:cs="Microsoft JhengHei" w:eastAsia="Microsoft JhengHei" w:hAnsi="Microsoft JhengHei"/>
                <w:b/>
                <w:bCs/>
                <w:sz w:val="19"/>
                <w:szCs w:val="19"/>
              </w:rPr>
              <w:t xml:space="preserve">中心化受監管交易平台</w:t>
            </w:r>
            <w:r>
              <w:rPr>
                <w:rFonts w:ascii="Microsoft JhengHei" w:cs="Microsoft JhengHei" w:eastAsia="Microsoft JhengHei" w:hAnsi="Microsoft JhengHei"/>
                <w:sz w:val="19"/>
                <w:szCs w:val="19"/>
              </w:rPr>
              <w:t xml:space="preserve">，具備十餘年營運與客服應變經驗，強平引擎邏輯經過長期市場驗證，</w:t>
            </w:r>
            <w:r>
              <w:rPr>
                <w:rFonts w:ascii="Microsoft JhengHei" w:cs="Microsoft JhengHei" w:eastAsia="Microsoft JhengHei" w:hAnsi="Microsoft JhengHei"/>
                <w:b/>
                <w:bCs/>
                <w:sz w:val="19"/>
                <w:szCs w:val="19"/>
              </w:rPr>
              <w:t xml:space="preserve">不存在智能合約層面之技術攻擊面</w:t>
            </w:r>
          </w:p>
        </w:tc>
      </w:tr>
      <w:tr>
        <w:tc>
          <w:tcPr>
            <w:tcW w:type="dxa" w:w="22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其他中小型 CEX 之 P2P 借貸市場</w:t>
            </w:r>
          </w:p>
        </w:tc>
        <w:tc>
          <w:tcPr>
            <w:tcW w:type="dxa" w:w="35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市場深度不足、借款人集中度過高、單一大額借款人違約即可能導致出借簿流動性枯竭</w:t>
            </w:r>
          </w:p>
        </w:tc>
        <w:tc>
          <w:tcPr>
            <w:tcW w:type="dxa" w:w="3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Bitfinex 借款人結構分散，涵蓋大量專業做市商、套利者與槓桿交易者，</w:t>
            </w:r>
            <w:r>
              <w:rPr>
                <w:rFonts w:ascii="Microsoft JhengHei" w:cs="Microsoft JhengHei" w:eastAsia="Microsoft JhengHei" w:hAnsi="Microsoft JhengHei"/>
                <w:b/>
                <w:bCs/>
                <w:sz w:val="19"/>
                <w:szCs w:val="19"/>
              </w:rPr>
              <w:t xml:space="preserve">單一借款人集中度風險相對分散</w:t>
            </w:r>
          </w:p>
        </w:tc>
      </w:tr>
    </w:tbl>
    <w:p>
      <w:pPr>
        <w:spacing w:after="160" w:before="200"/>
      </w:pPr>
      <w:r>
        <w:rPr>
          <w:rFonts w:ascii="Microsoft JhengHei" w:cs="Microsoft JhengHei" w:eastAsia="Microsoft JhengHei" w:hAnsi="Microsoft JhengHei"/>
          <w:b/>
          <w:bCs/>
          <w:sz w:val="21"/>
          <w:szCs w:val="21"/>
        </w:rPr>
        <w:t xml:space="preserve">結論：</w:t>
      </w:r>
      <w:r>
        <w:rPr>
          <w:rFonts w:ascii="Microsoft JhengHei" w:cs="Microsoft JhengHei" w:eastAsia="Microsoft JhengHei" w:hAnsi="Microsoft JhengHei"/>
          <w:sz w:val="21"/>
          <w:szCs w:val="21"/>
        </w:rPr>
        <w:t xml:space="preserve"> 在「透明度」「流動性深度」「歷史壓力測試紀錄」三項財務部最關切之維度上，Bitfinex USD Margin Funding 相較於平台自營理財與 DeFi 協議，具備更清晰之風險歸屬與更長之信譽紀錄。</w:t>
      </w:r>
    </w:p>
    <w:p>
      <w:pPr>
        <w:pStyle w:val="Heading2"/>
        <w:spacing w:after="140" w:before="300"/>
      </w:pPr>
      <w:r>
        <w:rPr>
          <w:rFonts w:ascii="Microsoft JhengHei" w:cs="Microsoft JhengHei" w:eastAsia="Microsoft JhengHei" w:hAnsi="Microsoft JhengHei"/>
          <w:b/>
          <w:bCs/>
          <w:color w:val="1F3864"/>
          <w:sz w:val="25"/>
          <w:szCs w:val="25"/>
        </w:rPr>
        <w:t xml:space="preserve">2.3 為什麼選擇 USD（而非加密貨幣或穩定幣）</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論證角度</w:t>
            </w:r>
          </w:p>
        </w:tc>
        <w:tc>
          <w:tcPr>
            <w:tcW w:type="dxa" w:w="67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說明</w:t>
            </w:r>
          </w:p>
        </w:tc>
      </w:tr>
      <w:tr>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① 本金安全性（零幣價波動 / Delta-Neutral）</w:t>
            </w:r>
          </w:p>
        </w:tc>
        <w:tc>
          <w:tcPr>
            <w:tcW w:type="dxa" w:w="67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出借本金與計價貨幣皆為美元法幣，</w:t>
            </w:r>
            <w:r>
              <w:rPr>
                <w:rFonts w:ascii="Microsoft JhengHei" w:cs="Microsoft JhengHei" w:eastAsia="Microsoft JhengHei" w:hAnsi="Microsoft JhengHei"/>
                <w:b/>
                <w:bCs/>
                <w:sz w:val="19"/>
                <w:szCs w:val="19"/>
              </w:rPr>
              <w:t xml:space="preserve">不存在任何標的資產跌價導致本金減損之風險</w:t>
            </w:r>
            <w:r>
              <w:rPr>
                <w:rFonts w:ascii="Microsoft JhengHei" w:cs="Microsoft JhengHei" w:eastAsia="Microsoft JhengHei" w:hAnsi="Microsoft JhengHei"/>
                <w:sz w:val="19"/>
                <w:szCs w:val="19"/>
              </w:rPr>
              <w:t xml:space="preserve">。相較於出借 BTC/ETH 等波動性資產，即便利息收益為正，仍可能因幣價下跌導致美元計價總值虧損；USD 出借完全規避此類「Delta 曝險」</w:t>
            </w:r>
          </w:p>
        </w:tc>
      </w:tr>
      <w:tr>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② 財務與會計入帳清晰（GAAP / IFRS 相容性）</w:t>
            </w:r>
          </w:p>
        </w:tc>
        <w:tc>
          <w:tcPr>
            <w:tcW w:type="dxa" w:w="67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美元法幣計價之出借部位，於財務報表上可直接列示為</w:t>
            </w:r>
            <w:r>
              <w:rPr>
                <w:rFonts w:ascii="Microsoft JhengHei" w:cs="Microsoft JhengHei" w:eastAsia="Microsoft JhengHei" w:hAnsi="Microsoft JhengHei"/>
                <w:b/>
                <w:bCs/>
                <w:sz w:val="19"/>
                <w:szCs w:val="19"/>
              </w:rPr>
              <w:t xml:space="preserve">「短期金融資產／應收利息」</w:t>
            </w:r>
            <w:r>
              <w:rPr>
                <w:rFonts w:ascii="Microsoft JhengHei" w:cs="Microsoft JhengHei" w:eastAsia="Microsoft JhengHei" w:hAnsi="Microsoft JhengHei"/>
                <w:sz w:val="19"/>
                <w:szCs w:val="19"/>
              </w:rPr>
              <w:t xml:space="preserve">，適用一般公認會計原則之公允價值與攤銷後成本認列規範，</w:t>
            </w:r>
            <w:r>
              <w:rPr>
                <w:rFonts w:ascii="Microsoft JhengHei" w:cs="Microsoft JhengHei" w:eastAsia="Microsoft JhengHei" w:hAnsi="Microsoft JhengHei"/>
                <w:b/>
                <w:bCs/>
                <w:sz w:val="19"/>
                <w:szCs w:val="19"/>
              </w:rPr>
              <w:t xml:space="preserve">不涉及加密貨幣存貨（Crypto Inventory）之公允價值波動認列複雜性</w:t>
            </w:r>
            <w:r>
              <w:rPr>
                <w:rFonts w:ascii="Microsoft JhengHei" w:cs="Microsoft JhengHei" w:eastAsia="Microsoft JhengHei" w:hAnsi="Microsoft JhengHei"/>
                <w:sz w:val="19"/>
                <w:szCs w:val="19"/>
              </w:rPr>
              <w:t xml:space="preserve">，大幅簡化月結、季結之會計師查核程序</w:t>
            </w:r>
          </w:p>
        </w:tc>
      </w:tr>
      <w:tr>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③ 資產負債表管理（Balance Sheet Management）</w:t>
            </w:r>
          </w:p>
        </w:tc>
        <w:tc>
          <w:tcPr>
            <w:tcW w:type="dxa" w:w="67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美元部位可直接與公司既有美元負債、營運資金需求進行</w:t>
            </w:r>
            <w:r>
              <w:rPr>
                <w:rFonts w:ascii="Microsoft JhengHei" w:cs="Microsoft JhengHei" w:eastAsia="Microsoft JhengHei" w:hAnsi="Microsoft JhengHei"/>
                <w:b/>
                <w:bCs/>
                <w:sz w:val="19"/>
                <w:szCs w:val="19"/>
              </w:rPr>
              <w:t xml:space="preserve">幣別匹配（Currency Matching）</w:t>
            </w:r>
            <w:r>
              <w:rPr>
                <w:rFonts w:ascii="Microsoft JhengHei" w:cs="Microsoft JhengHei" w:eastAsia="Microsoft JhengHei" w:hAnsi="Microsoft JhengHei"/>
                <w:sz w:val="19"/>
                <w:szCs w:val="19"/>
              </w:rPr>
              <w:t xml:space="preserve">，不產生外幣或加密貨幣之額外幣別錯配風險（Currency Mismatch Risk）</w:t>
            </w:r>
          </w:p>
        </w:tc>
      </w:tr>
      <w:tr>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④ 規避穩定幣脫錨風險（De-peg Risk）</w:t>
            </w:r>
          </w:p>
        </w:tc>
        <w:tc>
          <w:tcPr>
            <w:tcW w:type="dxa" w:w="67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若改以 USDT/USDC 等穩定幣出借，將額外承擔：(a) 發行商儲備金資產品質與可贖回性風險；(b) 二級市場交易脫錨風險（如 2023 年 3 月 USDC 因矽谷銀行事件短暫脫錨至 0.87 美元）；(c) 發行商監管與凍結地址之政策風險。USD 法幣出借</w:t>
            </w:r>
            <w:r>
              <w:rPr>
                <w:rFonts w:ascii="Microsoft JhengHei" w:cs="Microsoft JhengHei" w:eastAsia="Microsoft JhengHei" w:hAnsi="Microsoft JhengHei"/>
                <w:b/>
                <w:bCs/>
                <w:sz w:val="19"/>
                <w:szCs w:val="19"/>
              </w:rPr>
              <w:t xml:space="preserve">完全不存在上述發行商信用風險層</w:t>
            </w:r>
          </w:p>
        </w:tc>
      </w:tr>
    </w:tbl>
    <w:p>
      <w:pPr>
        <w:spacing w:after="160" w:before="200"/>
      </w:pPr>
      <w:r>
        <w:rPr>
          <w:rFonts w:ascii="Microsoft JhengHei" w:cs="Microsoft JhengHei" w:eastAsia="Microsoft JhengHei" w:hAnsi="Microsoft JhengHei"/>
          <w:b/>
          <w:bCs/>
          <w:sz w:val="21"/>
          <w:szCs w:val="21"/>
        </w:rPr>
        <w:t xml:space="preserve">財務部審查重點回應：</w:t>
      </w:r>
      <w:r>
        <w:rPr>
          <w:rFonts w:ascii="Microsoft JhengHei" w:cs="Microsoft JhengHei" w:eastAsia="Microsoft JhengHei" w:hAnsi="Microsoft JhengHei"/>
          <w:sz w:val="21"/>
          <w:szCs w:val="21"/>
        </w:rPr>
        <w:t xml:space="preserve"> 本計畫之收益來源為「出借美元法幣賺取利息」，其風險屬性與傳統「美元短期拆款／貨幣市場工具」高度相似，</w:t>
      </w:r>
      <w:r>
        <w:rPr>
          <w:rFonts w:ascii="Microsoft JhengHei" w:cs="Microsoft JhengHei" w:eastAsia="Microsoft JhengHei" w:hAnsi="Microsoft JhengHei"/>
          <w:b/>
          <w:bCs/>
          <w:sz w:val="21"/>
          <w:szCs w:val="21"/>
        </w:rPr>
        <w:t xml:space="preserve">唯一額外增加之風險層為交易平台之交易對手信用風險</w:t>
      </w:r>
      <w:r>
        <w:rPr>
          <w:rFonts w:ascii="Microsoft JhengHei" w:cs="Microsoft JhengHei" w:eastAsia="Microsoft JhengHei" w:hAnsi="Microsoft JhengHei"/>
          <w:sz w:val="21"/>
          <w:szCs w:val="21"/>
        </w:rPr>
        <w:t xml:space="preserve">，此風險已於第 5 章專項列示緩釋對策。</w:t>
      </w:r>
    </w:p>
    <w:p>
      <w:pPr>
        <w:pStyle w:val="Heading1"/>
        <w:pBdr>
          <w:bottom w:val="single" w:color="1F3864" w:sz="6"/>
        </w:pBdr>
        <w:spacing w:after="200" w:before="400"/>
      </w:pPr>
      <w:r>
        <w:rPr>
          <w:rFonts w:ascii="Microsoft JhengHei" w:cs="Microsoft JhengHei" w:eastAsia="Microsoft JhengHei" w:hAnsi="Microsoft JhengHei"/>
          <w:b/>
          <w:bCs/>
          <w:color w:val="1F3864"/>
          <w:sz w:val="30"/>
          <w:szCs w:val="30"/>
        </w:rPr>
        <w:t xml:space="preserve">3. 底層運作機制與收益防禦性（Mechanism &amp; Collateral Protection）</w:t>
      </w:r>
    </w:p>
    <w:p>
      <w:pPr>
        <w:pStyle w:val="Heading2"/>
        <w:spacing w:after="140" w:before="300"/>
      </w:pPr>
      <w:r>
        <w:rPr>
          <w:rFonts w:ascii="Microsoft JhengHei" w:cs="Microsoft JhengHei" w:eastAsia="Microsoft JhengHei" w:hAnsi="Microsoft JhengHei"/>
          <w:b/>
          <w:bCs/>
          <w:color w:val="1F3864"/>
          <w:sz w:val="25"/>
          <w:szCs w:val="25"/>
        </w:rPr>
        <w:t xml:space="preserve">3.1 Bitfinex 保證金撮合市場運作機制</w:t>
      </w:r>
    </w:p>
    <w:p>
      <w:pPr>
        <w:spacing w:after="160" w:line="300"/>
      </w:pPr>
      <w:r>
        <w:rPr>
          <w:rFonts w:ascii="Microsoft JhengHei" w:cs="Microsoft JhengHei" w:eastAsia="Microsoft JhengHei" w:hAnsi="Microsoft JhengHei"/>
          <w:sz w:val="21"/>
          <w:szCs w:val="21"/>
        </w:rPr>
        <w:t xml:space="preserve">Bitfinex Margin Funding 市場之運作可拆解為以下環節：</w:t>
      </w:r>
    </w:p>
    <w:p>
      <w:pPr>
        <w:pStyle w:val="ListParagraph"/>
        <w:numPr>
          <w:ilvl w:val="0"/>
          <w:numId w:val="2"/>
        </w:numPr>
        <w:spacing w:after="100" w:line="300"/>
      </w:pPr>
      <w:r>
        <w:rPr>
          <w:rFonts w:ascii="Microsoft JhengHei" w:cs="Microsoft JhengHei" w:eastAsia="Microsoft JhengHei" w:hAnsi="Microsoft JhengHei"/>
          <w:b/>
          <w:bCs/>
          <w:sz w:val="21"/>
          <w:szCs w:val="21"/>
        </w:rPr>
        <w:t xml:space="preserve">出借掛單（Funding Offer）</w:t>
      </w:r>
      <w:r>
        <w:rPr>
          <w:rFonts w:ascii="Microsoft JhengHei" w:cs="Microsoft JhengHei" w:eastAsia="Microsoft JhengHei" w:hAnsi="Microsoft JhengHei"/>
          <w:sz w:val="21"/>
          <w:szCs w:val="21"/>
        </w:rPr>
        <w:t xml:space="preserve">：出借人於 Funding Book 中掛出「金額、利率（Daily/APR）、天期」三要素之出借報價，系統依價格優先、時間優先原則自動撮合。</w:t>
      </w:r>
    </w:p>
    <w:p>
      <w:pPr>
        <w:pStyle w:val="ListParagraph"/>
        <w:numPr>
          <w:ilvl w:val="0"/>
          <w:numId w:val="2"/>
        </w:numPr>
        <w:spacing w:after="100" w:line="300"/>
      </w:pPr>
      <w:r>
        <w:rPr>
          <w:rFonts w:ascii="Microsoft JhengHei" w:cs="Microsoft JhengHei" w:eastAsia="Microsoft JhengHei" w:hAnsi="Microsoft JhengHei"/>
          <w:b/>
          <w:bCs/>
          <w:sz w:val="21"/>
          <w:szCs w:val="21"/>
        </w:rPr>
        <w:t xml:space="preserve">借款人保證金要求（Initial Margin / Maintenance Margin）</w:t>
      </w:r>
      <w:r>
        <w:rPr>
          <w:rFonts w:ascii="Microsoft JhengHei" w:cs="Microsoft JhengHei" w:eastAsia="Microsoft JhengHei" w:hAnsi="Microsoft JhengHei"/>
          <w:sz w:val="21"/>
          <w:szCs w:val="21"/>
        </w:rPr>
        <w:t xml:space="preserve">：借款人須先存入超額擔保品（通常為其槓桿部位總值之一定比例）方可動用融資額度。</w:t>
      </w:r>
    </w:p>
    <w:p>
      <w:pPr>
        <w:pStyle w:val="ListParagraph"/>
        <w:numPr>
          <w:ilvl w:val="0"/>
          <w:numId w:val="3"/>
        </w:numPr>
        <w:spacing w:after="100" w:line="300"/>
      </w:pPr>
      <w:r>
        <w:rPr>
          <w:rFonts w:ascii="Microsoft JhengHei" w:cs="Microsoft JhengHei" w:eastAsia="Microsoft JhengHei" w:hAnsi="Microsoft JhengHei"/>
          <w:b/>
          <w:bCs/>
          <w:sz w:val="21"/>
          <w:szCs w:val="21"/>
        </w:rPr>
        <w:t xml:space="preserve">原始保證金率（Initial Margin）</w:t>
      </w:r>
      <w:r>
        <w:rPr>
          <w:rFonts w:ascii="Microsoft JhengHei" w:cs="Microsoft JhengHei" w:eastAsia="Microsoft JhengHei" w:hAnsi="Microsoft JhengHei"/>
          <w:sz w:val="21"/>
          <w:szCs w:val="21"/>
        </w:rPr>
        <w:t xml:space="preserve">：借款人建倉時所需之最低保證金比例（依交易對不同，一般約為部位名目價值之 15%–33%，即最高可用 3–6.6 倍槓桿）。</w:t>
      </w:r>
    </w:p>
    <w:p>
      <w:pPr>
        <w:pStyle w:val="ListParagraph"/>
        <w:numPr>
          <w:ilvl w:val="0"/>
          <w:numId w:val="3"/>
        </w:numPr>
        <w:spacing w:after="100" w:line="300"/>
      </w:pPr>
      <w:r>
        <w:rPr>
          <w:rFonts w:ascii="Microsoft JhengHei" w:cs="Microsoft JhengHei" w:eastAsia="Microsoft JhengHei" w:hAnsi="Microsoft JhengHei"/>
          <w:b/>
          <w:bCs/>
          <w:sz w:val="21"/>
          <w:szCs w:val="21"/>
        </w:rPr>
        <w:t xml:space="preserve">維持保證金率（Maintenance Margin）</w:t>
      </w:r>
      <w:r>
        <w:rPr>
          <w:rFonts w:ascii="Microsoft JhengHei" w:cs="Microsoft JhengHei" w:eastAsia="Microsoft JhengHei" w:hAnsi="Microsoft JhengHei"/>
          <w:sz w:val="21"/>
          <w:szCs w:val="21"/>
        </w:rPr>
        <w:t xml:space="preserve">：部位存續期間須持續維持之最低保證金比例，通常低於原始保證金率（約 15% 上下）。</w:t>
      </w:r>
    </w:p>
    <w:p>
      <w:pPr>
        <w:pStyle w:val="ListParagraph"/>
        <w:numPr>
          <w:ilvl w:val="0"/>
          <w:numId w:val="2"/>
        </w:numPr>
        <w:spacing w:after="100" w:line="300"/>
      </w:pPr>
      <w:r>
        <w:rPr>
          <w:rFonts w:ascii="Microsoft JhengHei" w:cs="Microsoft JhengHei" w:eastAsia="Microsoft JhengHei" w:hAnsi="Microsoft JhengHei"/>
          <w:b/>
          <w:bCs/>
          <w:sz w:val="21"/>
          <w:szCs w:val="21"/>
        </w:rPr>
        <w:t xml:space="preserve">強制平倉引擎（Liquidation Engine）</w:t>
      </w:r>
      <w:r>
        <w:rPr>
          <w:rFonts w:ascii="Microsoft JhengHei" w:cs="Microsoft JhengHei" w:eastAsia="Microsoft JhengHei" w:hAnsi="Microsoft JhengHei"/>
          <w:sz w:val="21"/>
          <w:szCs w:val="21"/>
        </w:rPr>
        <w:t xml:space="preserve">：當借款人部位之保證金比率跌破維持保證金率時，系統</w:t>
      </w:r>
      <w:r>
        <w:rPr>
          <w:rFonts w:ascii="Microsoft JhengHei" w:cs="Microsoft JhengHei" w:eastAsia="Microsoft JhengHei" w:hAnsi="Microsoft JhengHei"/>
          <w:b/>
          <w:bCs/>
          <w:sz w:val="21"/>
          <w:szCs w:val="21"/>
        </w:rPr>
        <w:t xml:space="preserve">自動觸發強制減倉／平倉</w:t>
      </w:r>
      <w:r>
        <w:rPr>
          <w:rFonts w:ascii="Microsoft JhengHei" w:cs="Microsoft JhengHei" w:eastAsia="Microsoft JhengHei" w:hAnsi="Microsoft JhengHei"/>
          <w:sz w:val="21"/>
          <w:szCs w:val="21"/>
        </w:rPr>
        <w:t xml:space="preserve">，優先以借款人之擔保品（而非出借人本金）償付未平倉之融資本息。</w:t>
      </w:r>
    </w:p>
    <w:p>
      <w:pPr>
        <w:pStyle w:val="ListParagraph"/>
        <w:numPr>
          <w:ilvl w:val="0"/>
          <w:numId w:val="2"/>
        </w:numPr>
        <w:spacing w:after="100" w:line="300"/>
      </w:pPr>
      <w:r>
        <w:rPr>
          <w:rFonts w:ascii="Microsoft JhengHei" w:cs="Microsoft JhengHei" w:eastAsia="Microsoft JhengHei" w:hAnsi="Microsoft JhengHei"/>
          <w:b/>
          <w:bCs/>
          <w:sz w:val="21"/>
          <w:szCs w:val="21"/>
        </w:rPr>
        <w:t xml:space="preserve">出借人優先受償權（Lender Priority）</w:t>
      </w:r>
      <w:r>
        <w:rPr>
          <w:rFonts w:ascii="Microsoft JhengHei" w:cs="Microsoft JhengHei" w:eastAsia="Microsoft JhengHei" w:hAnsi="Microsoft JhengHei"/>
          <w:sz w:val="21"/>
          <w:szCs w:val="21"/>
        </w:rPr>
        <w:t xml:space="preserve">：融資出借人對借款人擔保品之求償順位優先於借款人自身權益，</w:t>
      </w:r>
      <w:r>
        <w:rPr>
          <w:rFonts w:ascii="Microsoft JhengHei" w:cs="Microsoft JhengHei" w:eastAsia="Microsoft JhengHei" w:hAnsi="Microsoft JhengHei"/>
          <w:b/>
          <w:bCs/>
          <w:sz w:val="21"/>
          <w:szCs w:val="21"/>
        </w:rPr>
        <w:t xml:space="preserve">只要強平引擎於保證金比率歸零前即完成減倉，出借人本金即不受影響</w:t>
      </w:r>
      <w:r>
        <w:rPr>
          <w:rFonts w:ascii="Microsoft JhengHei" w:cs="Microsoft JhengHei" w:eastAsia="Microsoft JhengHei" w:hAnsi="Microsoft JhengHei"/>
          <w:sz w:val="21"/>
          <w:szCs w:val="21"/>
        </w:rPr>
        <w:t xml:space="preserve">。歷史上 Bitfinex 之保證金融資出借人本金因借款人違約而發生實質減損之事件極為罕見，主因即在於「超額擔保 + 自動強平」雙重機制。</w:t>
      </w:r>
    </w:p>
    <w:p>
      <w:pPr>
        <w:pStyle w:val="Heading2"/>
        <w:spacing w:after="140" w:before="300"/>
      </w:pPr>
      <w:r>
        <w:rPr>
          <w:rFonts w:ascii="Microsoft JhengHei" w:cs="Microsoft JhengHei" w:eastAsia="Microsoft JhengHei" w:hAnsi="Microsoft JhengHei"/>
          <w:b/>
          <w:bCs/>
          <w:color w:val="1F3864"/>
          <w:sz w:val="25"/>
          <w:szCs w:val="25"/>
        </w:rPr>
        <w:t xml:space="preserve">3.2 收益可實現性論證：為何 6%+ 為保守防禦性底線</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論證支柱</w:t>
            </w:r>
          </w:p>
        </w:tc>
        <w:tc>
          <w:tcPr>
            <w:tcW w:type="dxa" w:w="67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說明</w:t>
            </w:r>
          </w:p>
        </w:tc>
      </w:tr>
      <w:tr>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歷史利率週期觀察</w:t>
            </w:r>
          </w:p>
        </w:tc>
        <w:tc>
          <w:tcPr>
            <w:tcW w:type="dxa" w:w="67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觀察 Bitfinex USD Funding 歷史年化利率（fUSD），在</w:t>
            </w:r>
            <w:r>
              <w:rPr>
                <w:rFonts w:ascii="Microsoft JhengHei" w:cs="Microsoft JhengHei" w:eastAsia="Microsoft JhengHei" w:hAnsi="Microsoft JhengHei"/>
                <w:b/>
                <w:bCs/>
                <w:sz w:val="19"/>
                <w:szCs w:val="19"/>
              </w:rPr>
              <w:t xml:space="preserve">加密貨幣市場中性至偏多環境</w:t>
            </w:r>
            <w:r>
              <w:rPr>
                <w:rFonts w:ascii="Microsoft JhengHei" w:cs="Microsoft JhengHei" w:eastAsia="Microsoft JhengHei" w:hAnsi="Microsoft JhengHei"/>
                <w:sz w:val="19"/>
                <w:szCs w:val="19"/>
              </w:rPr>
              <w:t xml:space="preserve">下，年化利率長期呈現 </w:t>
            </w:r>
            <w:r>
              <w:rPr>
                <w:rFonts w:ascii="Microsoft JhengHei" w:cs="Microsoft JhengHei" w:eastAsia="Microsoft JhengHei" w:hAnsi="Microsoft JhengHei"/>
                <w:b/>
                <w:bCs/>
                <w:sz w:val="19"/>
                <w:szCs w:val="19"/>
              </w:rPr>
              <w:t xml:space="preserve">5%–15%</w:t>
            </w:r>
            <w:r>
              <w:rPr>
                <w:rFonts w:ascii="Microsoft JhengHei" w:cs="Microsoft JhengHei" w:eastAsia="Microsoft JhengHei" w:hAnsi="Microsoft JhengHei"/>
                <w:sz w:val="19"/>
                <w:szCs w:val="19"/>
              </w:rPr>
              <w:t xml:space="preserve"> 區間波動；於</w:t>
            </w:r>
            <w:r>
              <w:rPr>
                <w:rFonts w:ascii="Microsoft JhengHei" w:cs="Microsoft JhengHei" w:eastAsia="Microsoft JhengHei" w:hAnsi="Microsoft JhengHei"/>
                <w:b/>
                <w:bCs/>
                <w:sz w:val="19"/>
                <w:szCs w:val="19"/>
              </w:rPr>
              <w:t xml:space="preserve">槓桿需求旺盛之多頭行情</w:t>
            </w:r>
            <w:r>
              <w:rPr>
                <w:rFonts w:ascii="Microsoft JhengHei" w:cs="Microsoft JhengHei" w:eastAsia="Microsoft JhengHei" w:hAnsi="Microsoft JhengHei"/>
                <w:sz w:val="19"/>
                <w:szCs w:val="19"/>
              </w:rPr>
              <w:t xml:space="preserve">，年化利率屢次階段性突破 </w:t>
            </w:r>
            <w:r>
              <w:rPr>
                <w:rFonts w:ascii="Microsoft JhengHei" w:cs="Microsoft JhengHei" w:eastAsia="Microsoft JhengHei" w:hAnsi="Microsoft JhengHei"/>
                <w:b/>
                <w:bCs/>
                <w:sz w:val="19"/>
                <w:szCs w:val="19"/>
              </w:rPr>
              <w:t xml:space="preserve">20%–50%+</w:t>
            </w:r>
            <w:r>
              <w:rPr>
                <w:rFonts w:ascii="Microsoft JhengHei" w:cs="Microsoft JhengHei" w:eastAsia="Microsoft JhengHei" w:hAnsi="Microsoft JhengHei"/>
                <w:sz w:val="19"/>
                <w:szCs w:val="19"/>
              </w:rPr>
              <w:t xml:space="preserve">（如 2021 年上半年、2024–2025 年多次資金費率飆升期間）</w:t>
            </w:r>
          </w:p>
        </w:tc>
      </w:tr>
      <w:tr>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槓桿借貸需求之結構性支撐</w:t>
            </w:r>
          </w:p>
        </w:tc>
        <w:tc>
          <w:tcPr>
            <w:tcW w:type="dxa" w:w="67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加密貨幣市場之槓桿交易需求（多頭融資買入、空頭融券放空、跨平台資金費率套利）具</w:t>
            </w:r>
            <w:r>
              <w:rPr>
                <w:rFonts w:ascii="Microsoft JhengHei" w:cs="Microsoft JhengHei" w:eastAsia="Microsoft JhengHei" w:hAnsi="Microsoft JhengHei"/>
                <w:b/>
                <w:bCs/>
                <w:sz w:val="19"/>
                <w:szCs w:val="19"/>
              </w:rPr>
              <w:t xml:space="preserve">持續性結構性需求</w:t>
            </w:r>
            <w:r>
              <w:rPr>
                <w:rFonts w:ascii="Microsoft JhengHei" w:cs="Microsoft JhengHei" w:eastAsia="Microsoft JhengHei" w:hAnsi="Microsoft JhengHei"/>
                <w:sz w:val="19"/>
                <w:szCs w:val="19"/>
              </w:rPr>
              <w:t xml:space="preserve">，即便於盤整行情，做市商與套利者仍持續動用槓桿部位進行基差套利（Basis Trade）、資金費率套利（Funding Rate Arbitrage），此類策略對短天期美元融資具</w:t>
            </w:r>
            <w:r>
              <w:rPr>
                <w:rFonts w:ascii="Microsoft JhengHei" w:cs="Microsoft JhengHei" w:eastAsia="Microsoft JhengHei" w:hAnsi="Microsoft JhengHei"/>
                <w:b/>
                <w:bCs/>
                <w:sz w:val="19"/>
                <w:szCs w:val="19"/>
              </w:rPr>
              <w:t xml:space="preserve">剛性需求</w:t>
            </w:r>
            <w:r>
              <w:rPr>
                <w:rFonts w:ascii="Microsoft JhengHei" w:cs="Microsoft JhengHei" w:eastAsia="Microsoft JhengHei" w:hAnsi="Microsoft JhengHei"/>
                <w:sz w:val="19"/>
                <w:szCs w:val="19"/>
              </w:rPr>
              <w:t xml:space="preserve">，支撐出借利率不致長期趨近於零</w:t>
            </w:r>
          </w:p>
        </w:tc>
      </w:tr>
      <w:tr>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扣除 15% 平台服務費後之淨收益測算</w:t>
            </w:r>
          </w:p>
        </w:tc>
        <w:tc>
          <w:tcPr>
            <w:tcW w:type="dxa" w:w="67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若市場「地板利率」（極度清淡行情）對應毛年化約 7%，扣除 15% 平台服務費後，淨年化仍約 </w:t>
            </w:r>
            <w:r>
              <w:rPr>
                <w:rFonts w:ascii="Microsoft JhengHei" w:cs="Microsoft JhengHei" w:eastAsia="Microsoft JhengHei" w:hAnsi="Microsoft JhengHei"/>
                <w:b/>
                <w:bCs/>
                <w:sz w:val="19"/>
                <w:szCs w:val="19"/>
              </w:rPr>
              <w:t xml:space="preserve">5.95%</w:t>
            </w:r>
            <w:r>
              <w:rPr>
                <w:rFonts w:ascii="Microsoft JhengHei" w:cs="Microsoft JhengHei" w:eastAsia="Microsoft JhengHei" w:hAnsi="Microsoft JhengHei"/>
                <w:sz w:val="19"/>
                <w:szCs w:val="19"/>
              </w:rPr>
              <w:t xml:space="preserve">，已逼近本計畫保守情境假設；一旦市場恢復至歷史中樞水準（毛年化 10%–12%），淨年化即可達 </w:t>
            </w:r>
            <w:r>
              <w:rPr>
                <w:rFonts w:ascii="Microsoft JhengHei" w:cs="Microsoft JhengHei" w:eastAsia="Microsoft JhengHei" w:hAnsi="Microsoft JhengHei"/>
                <w:b/>
                <w:bCs/>
                <w:sz w:val="19"/>
                <w:szCs w:val="19"/>
              </w:rPr>
              <w:t xml:space="preserve">8.5%–10.2%</w:t>
            </w:r>
            <w:r>
              <w:rPr>
                <w:rFonts w:ascii="Microsoft JhengHei" w:cs="Microsoft JhengHei" w:eastAsia="Microsoft JhengHei" w:hAnsi="Microsoft JhengHei"/>
                <w:sz w:val="19"/>
                <w:szCs w:val="19"/>
              </w:rPr>
              <w:t xml:space="preserve">，顯著優於 6% 目標下限</w:t>
            </w:r>
          </w:p>
        </w:tc>
      </w:tr>
      <w:tr>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相較傳統無風險利率之防禦性</w:t>
            </w:r>
          </w:p>
        </w:tc>
        <w:tc>
          <w:tcPr>
            <w:tcW w:type="dxa" w:w="67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即便以最保守之「地板情境」測算，淨年化仍較 SOFR（約 4.5%）高出約 </w:t>
            </w:r>
            <w:r>
              <w:rPr>
                <w:rFonts w:ascii="Microsoft JhengHei" w:cs="Microsoft JhengHei" w:eastAsia="Microsoft JhengHei" w:hAnsi="Microsoft JhengHei"/>
                <w:b/>
                <w:bCs/>
                <w:sz w:val="19"/>
                <w:szCs w:val="19"/>
              </w:rPr>
              <w:t xml:space="preserve">150 bps</w:t>
            </w:r>
            <w:r>
              <w:rPr>
                <w:rFonts w:ascii="Microsoft JhengHei" w:cs="Microsoft JhengHei" w:eastAsia="Microsoft JhengHei" w:hAnsi="Microsoft JhengHei"/>
                <w:sz w:val="19"/>
                <w:szCs w:val="19"/>
              </w:rPr>
              <w:t xml:space="preserve"> 以上，符合財務部設定之最低流動性溢價門檻</w:t>
            </w:r>
          </w:p>
        </w:tc>
      </w:tr>
    </w:tbl>
    <w:p>
      <w:pPr>
        <w:spacing w:after="160" w:before="200"/>
      </w:pPr>
      <w:r>
        <w:rPr>
          <w:rFonts w:ascii="Microsoft JhengHei" w:cs="Microsoft JhengHei" w:eastAsia="Microsoft JhengHei" w:hAnsi="Microsoft JhengHei"/>
          <w:b/>
          <w:bCs/>
          <w:sz w:val="21"/>
          <w:szCs w:val="21"/>
        </w:rPr>
        <w:t xml:space="preserve">結論：</w:t>
      </w:r>
      <w:r>
        <w:rPr>
          <w:rFonts w:ascii="Microsoft JhengHei" w:cs="Microsoft JhengHei" w:eastAsia="Microsoft JhengHei" w:hAnsi="Microsoft JhengHei"/>
          <w:sz w:val="21"/>
          <w:szCs w:val="21"/>
        </w:rPr>
        <w:t xml:space="preserve"> 6.0% 之淨年化目標並非樂觀假設，而是</w:t>
      </w:r>
      <w:r>
        <w:rPr>
          <w:rFonts w:ascii="Microsoft JhengHei" w:cs="Microsoft JhengHei" w:eastAsia="Microsoft JhengHei" w:hAnsi="Microsoft JhengHei"/>
          <w:b/>
          <w:bCs/>
          <w:sz w:val="21"/>
          <w:szCs w:val="21"/>
        </w:rPr>
        <w:t xml:space="preserve">建立在 Bitfinex 十餘年歷史利率下緣區間之保守推估</w:t>
      </w:r>
      <w:r>
        <w:rPr>
          <w:rFonts w:ascii="Microsoft JhengHei" w:cs="Microsoft JhengHei" w:eastAsia="Microsoft JhengHei" w:hAnsi="Microsoft JhengHei"/>
          <w:sz w:val="21"/>
          <w:szCs w:val="21"/>
        </w:rPr>
        <w:t xml:space="preserve">，具備充分之數據防禦性。</w:t>
      </w:r>
    </w:p>
    <w:p>
      <w:pPr>
        <w:pStyle w:val="Heading1"/>
        <w:pBdr>
          <w:bottom w:val="single" w:color="1F3864" w:sz="6"/>
        </w:pBdr>
        <w:spacing w:after="200" w:before="400"/>
      </w:pPr>
      <w:r>
        <w:rPr>
          <w:rFonts w:ascii="Microsoft JhengHei" w:cs="Microsoft JhengHei" w:eastAsia="Microsoft JhengHei" w:hAnsi="Microsoft JhengHei"/>
          <w:b/>
          <w:bCs/>
          <w:color w:val="1F3864"/>
          <w:sz w:val="30"/>
          <w:szCs w:val="30"/>
        </w:rPr>
        <w:t xml:space="preserve">4. 動態天期階梯與流動性管理（Tenor &amp; Liquidity Laddering）</w:t>
      </w:r>
    </w:p>
    <w:p>
      <w:pPr>
        <w:pStyle w:val="Heading2"/>
        <w:spacing w:after="140" w:before="300"/>
      </w:pPr>
      <w:r>
        <w:rPr>
          <w:rFonts w:ascii="Microsoft JhengHei" w:cs="Microsoft JhengHei" w:eastAsia="Microsoft JhengHei" w:hAnsi="Microsoft JhengHei"/>
          <w:b/>
          <w:bCs/>
          <w:color w:val="1F3864"/>
          <w:sz w:val="25"/>
          <w:szCs w:val="25"/>
        </w:rPr>
        <w:t xml:space="preserve">4.1 借款人提前還款權與出借人再投資風險</w:t>
      </w:r>
    </w:p>
    <w:p>
      <w:pPr>
        <w:pStyle w:val="ListParagraph"/>
        <w:numPr>
          <w:ilvl w:val="0"/>
          <w:numId w:val="3"/>
        </w:numPr>
        <w:spacing w:after="100" w:line="300"/>
      </w:pPr>
      <w:r>
        <w:rPr>
          <w:rFonts w:ascii="Microsoft JhengHei" w:cs="Microsoft JhengHei" w:eastAsia="Microsoft JhengHei" w:hAnsi="Microsoft JhengHei"/>
          <w:b/>
          <w:bCs/>
          <w:sz w:val="21"/>
          <w:szCs w:val="21"/>
        </w:rPr>
        <w:t xml:space="preserve">提前還款權（Prepayment Option）</w:t>
      </w:r>
      <w:r>
        <w:rPr>
          <w:rFonts w:ascii="Microsoft JhengHei" w:cs="Microsoft JhengHei" w:eastAsia="Microsoft JhengHei" w:hAnsi="Microsoft JhengHei"/>
          <w:sz w:val="21"/>
          <w:szCs w:val="21"/>
        </w:rPr>
        <w:t xml:space="preserve">：Bitfinex Margin Funding 借款人可於天期屆滿前提前償還融資（例如平倉部位後主動結清融資），此時出借人資金將提前回流，惟</w:t>
      </w:r>
      <w:r>
        <w:rPr>
          <w:rFonts w:ascii="Microsoft JhengHei" w:cs="Microsoft JhengHei" w:eastAsia="Microsoft JhengHei" w:hAnsi="Microsoft JhengHei"/>
          <w:b/>
          <w:bCs/>
          <w:sz w:val="21"/>
          <w:szCs w:val="21"/>
        </w:rPr>
        <w:t xml:space="preserve">提前還款情境下出借人仍可取得已實際借用天數之應計利息</w:t>
      </w:r>
      <w:r>
        <w:rPr>
          <w:rFonts w:ascii="Microsoft JhengHei" w:cs="Microsoft JhengHei" w:eastAsia="Microsoft JhengHei" w:hAnsi="Microsoft JhengHei"/>
          <w:sz w:val="21"/>
          <w:szCs w:val="21"/>
        </w:rPr>
        <w:t xml:space="preserve">，本金不受影響。</w:t>
      </w:r>
    </w:p>
    <w:p>
      <w:pPr>
        <w:pStyle w:val="ListParagraph"/>
        <w:numPr>
          <w:ilvl w:val="0"/>
          <w:numId w:val="3"/>
        </w:numPr>
        <w:spacing w:after="100" w:line="300"/>
      </w:pPr>
      <w:r>
        <w:rPr>
          <w:rFonts w:ascii="Microsoft JhengHei" w:cs="Microsoft JhengHei" w:eastAsia="Microsoft JhengHei" w:hAnsi="Microsoft JhengHei"/>
          <w:b/>
          <w:bCs/>
          <w:sz w:val="21"/>
          <w:szCs w:val="21"/>
        </w:rPr>
        <w:t xml:space="preserve">再投資風險（Reinvestment Risk）</w:t>
      </w:r>
      <w:r>
        <w:rPr>
          <w:rFonts w:ascii="Microsoft JhengHei" w:cs="Microsoft JhengHei" w:eastAsia="Microsoft JhengHei" w:hAnsi="Microsoft JhengHei"/>
          <w:sz w:val="21"/>
          <w:szCs w:val="21"/>
        </w:rPr>
        <w:t xml:space="preserve">：資金提前回流或天期到期後，若市場利率已下降，出借人須以較低利率再投資，可能導致實際年化收益低於原始鎖定利率。此風險透過「動態天期階梯」與「分批出借」機制加以緩釋（詳見 4.2、4.3）。</w:t>
      </w:r>
    </w:p>
    <w:p>
      <w:pPr>
        <w:pStyle w:val="Heading2"/>
        <w:spacing w:after="140" w:before="300"/>
      </w:pPr>
      <w:r>
        <w:rPr>
          <w:rFonts w:ascii="Microsoft JhengHei" w:cs="Microsoft JhengHei" w:eastAsia="Microsoft JhengHei" w:hAnsi="Microsoft JhengHei"/>
          <w:b/>
          <w:bCs/>
          <w:color w:val="1F3864"/>
          <w:sz w:val="25"/>
          <w:szCs w:val="25"/>
        </w:rPr>
        <w:t xml:space="preserve">4.2 利差驅動階梯配置操作矩陣（Rate-Driven Tenor Allocation Matrix）</w:t>
      </w:r>
    </w:p>
    <w:p>
      <w:pPr>
        <w:spacing w:after="160" w:line="300"/>
      </w:pPr>
      <w:r>
        <w:rPr>
          <w:rFonts w:ascii="Microsoft JhengHei" w:cs="Microsoft JhengHei" w:eastAsia="Microsoft JhengHei" w:hAnsi="Microsoft JhengHei"/>
          <w:sz w:val="21"/>
          <w:szCs w:val="21"/>
        </w:rPr>
        <w:t xml:space="preserve">本計畫</w:t>
      </w:r>
      <w:r>
        <w:rPr>
          <w:rFonts w:ascii="Microsoft JhengHei" w:cs="Microsoft JhengHei" w:eastAsia="Microsoft JhengHei" w:hAnsi="Microsoft JhengHei"/>
          <w:b/>
          <w:bCs/>
          <w:sz w:val="21"/>
          <w:szCs w:val="21"/>
        </w:rPr>
        <w:t xml:space="preserve">拒絕僵化之一律短天期限制</w:t>
      </w:r>
      <w:r>
        <w:rPr>
          <w:rFonts w:ascii="Microsoft JhengHei" w:cs="Microsoft JhengHei" w:eastAsia="Microsoft JhengHei" w:hAnsi="Microsoft JhengHei"/>
          <w:sz w:val="21"/>
          <w:szCs w:val="21"/>
        </w:rPr>
        <w:t xml:space="preserve">，改採「利差驅動」動態配置機制，依當前市場年化利率（APR）水準，分級授權可承作天期：</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900"/>
        <w:gridCol w:w="2350"/>
      </w:tblGrid>
      <w:tr>
        <w:trPr>
          <w:tblHeader/>
        </w:trPr>
        <w:tc>
          <w:tcPr>
            <w:tcW w:type="dxa" w:w="22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市場利率區間（APR）</w:t>
            </w:r>
          </w:p>
        </w:tc>
        <w:tc>
          <w:tcPr>
            <w:tcW w:type="dxa" w:w="19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授權天期</w:t>
            </w:r>
          </w:p>
        </w:tc>
        <w:tc>
          <w:tcPr>
            <w:tcW w:type="dxa" w:w="29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操作邏輯</w:t>
            </w:r>
          </w:p>
        </w:tc>
        <w:tc>
          <w:tcPr>
            <w:tcW w:type="dxa" w:w="23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滾存機制</w:t>
            </w:r>
          </w:p>
        </w:tc>
      </w:tr>
      <w:tr>
        <w:tc>
          <w:tcPr>
            <w:tcW w:type="dxa" w:w="22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常態市場（APR &lt; 15%）</w:t>
            </w:r>
          </w:p>
        </w:tc>
        <w:tc>
          <w:tcPr>
            <w:tcW w:type="dxa" w:w="19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2–7 天短天期</w:t>
            </w:r>
          </w:p>
        </w:tc>
        <w:tc>
          <w:tcPr>
            <w:tcW w:type="dxa" w:w="29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維持高頻資金輪動，保留每週流動性釋出彈性，避免鎖定於偏低利率過長時間</w:t>
            </w:r>
          </w:p>
        </w:tc>
        <w:tc>
          <w:tcPr>
            <w:tcW w:type="dxa" w:w="23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自動滾存（Auto-Renew），到期後依當時市場利率重新掛單</w:t>
            </w:r>
          </w:p>
        </w:tc>
      </w:tr>
      <w:tr>
        <w:tc>
          <w:tcPr>
            <w:tcW w:type="dxa" w:w="22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高息溢價區間（APR ≥ 15%）</w:t>
            </w:r>
          </w:p>
        </w:tc>
        <w:tc>
          <w:tcPr>
            <w:tcW w:type="dxa" w:w="19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開放至 15–30 天中天期</w:t>
            </w:r>
          </w:p>
        </w:tc>
        <w:tc>
          <w:tcPr>
            <w:tcW w:type="dxa" w:w="29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鎖定借款人短期高成本融資窗口，避免利率短暫飆升後迅速回落導致錯失收益</w:t>
            </w:r>
          </w:p>
        </w:tc>
        <w:tc>
          <w:tcPr>
            <w:tcW w:type="dxa" w:w="23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分批鎖定，避免一次性滿倉單一天期</w:t>
            </w:r>
          </w:p>
        </w:tc>
      </w:tr>
      <w:tr>
        <w:tc>
          <w:tcPr>
            <w:tcW w:type="dxa" w:w="22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極端行情暴利期（APR ≥ 30%）</w:t>
            </w:r>
          </w:p>
        </w:tc>
        <w:tc>
          <w:tcPr>
            <w:tcW w:type="dxa" w:w="19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交易員彈性配置，最長可至 60–120 天（需專案授權）</w:t>
            </w:r>
          </w:p>
        </w:tc>
        <w:tc>
          <w:tcPr>
            <w:tcW w:type="dxa" w:w="29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於極端行情（如市場劇烈波動、多空雙向強烈去槓桿需求）鎖定超高利率窗口，最大化資本效益</w:t>
            </w:r>
          </w:p>
        </w:tc>
        <w:tc>
          <w:tcPr>
            <w:tcW w:type="dxa" w:w="23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須經風控主管專案簽核方可執行，並設定單筆上限</w:t>
            </w:r>
          </w:p>
        </w:tc>
      </w:tr>
    </w:tbl>
    <w:p>
      <w:pPr>
        <w:spacing w:before="200"/>
      </w:pPr>
    </w:p>
    <w:p>
      <w:pPr>
        <w:pStyle w:val="Heading2"/>
        <w:spacing w:after="140" w:before="300"/>
      </w:pPr>
      <w:r>
        <w:rPr>
          <w:rFonts w:ascii="Microsoft JhengHei" w:cs="Microsoft JhengHei" w:eastAsia="Microsoft JhengHei" w:hAnsi="Microsoft JhengHei"/>
          <w:b/>
          <w:bCs/>
          <w:color w:val="1F3864"/>
          <w:sz w:val="25"/>
          <w:szCs w:val="25"/>
        </w:rPr>
        <w:t xml:space="preserve">4.3 階梯式到期（Laddering）確保每日流動性回流</w:t>
      </w:r>
    </w:p>
    <w:p>
      <w:pPr>
        <w:spacing w:after="160" w:line="300"/>
      </w:pPr>
      <w:r>
        <w:rPr>
          <w:rFonts w:ascii="Microsoft JhengHei" w:cs="Microsoft JhengHei" w:eastAsia="Microsoft JhengHei" w:hAnsi="Microsoft JhengHei"/>
          <w:sz w:val="21"/>
          <w:szCs w:val="21"/>
        </w:rPr>
        <w:t xml:space="preserve">為避免資金集中於單一到期日、造成財務部臨時資金調度困難，本部門將實施</w:t>
      </w:r>
      <w:r>
        <w:rPr>
          <w:rFonts w:ascii="Microsoft JhengHei" w:cs="Microsoft JhengHei" w:eastAsia="Microsoft JhengHei" w:hAnsi="Microsoft JhengHei"/>
          <w:b/>
          <w:bCs/>
          <w:sz w:val="21"/>
          <w:szCs w:val="21"/>
        </w:rPr>
        <w:t xml:space="preserve">階梯式分批出借策略</w:t>
      </w:r>
      <w:r>
        <w:rPr>
          <w:rFonts w:ascii="Microsoft JhengHei" w:cs="Microsoft JhengHei" w:eastAsia="Microsoft JhengHei" w:hAnsi="Microsoft JhengHei"/>
          <w:sz w:val="21"/>
          <w:szCs w:val="21"/>
        </w:rPr>
        <w:t xml:space="preserve">：</w:t>
      </w:r>
    </w:p>
    <w:p>
      <w:pPr>
        <w:pStyle w:val="ListParagraph"/>
        <w:numPr>
          <w:ilvl w:val="0"/>
          <w:numId w:val="3"/>
        </w:numPr>
        <w:spacing w:after="100" w:line="300"/>
      </w:pPr>
      <w:r>
        <w:rPr>
          <w:rFonts w:ascii="Microsoft JhengHei" w:cs="Microsoft JhengHei" w:eastAsia="Microsoft JhengHei" w:hAnsi="Microsoft JhengHei"/>
          <w:sz w:val="21"/>
          <w:szCs w:val="21"/>
        </w:rPr>
        <w:t xml:space="preserve">將可運用美元資金</w:t>
      </w:r>
      <w:r>
        <w:rPr>
          <w:rFonts w:ascii="Microsoft JhengHei" w:cs="Microsoft JhengHei" w:eastAsia="Microsoft JhengHei" w:hAnsi="Microsoft JhengHei"/>
          <w:b/>
          <w:bCs/>
          <w:sz w:val="21"/>
          <w:szCs w:val="21"/>
        </w:rPr>
        <w:t xml:space="preserve">拆分為多筆（例如 5–10 筆）</w:t>
      </w:r>
      <w:r>
        <w:rPr>
          <w:rFonts w:ascii="Microsoft JhengHei" w:cs="Microsoft JhengHei" w:eastAsia="Microsoft JhengHei" w:hAnsi="Microsoft JhengHei"/>
          <w:sz w:val="21"/>
          <w:szCs w:val="21"/>
        </w:rPr>
        <w:t xml:space="preserve">，以</w:t>
      </w:r>
      <w:r>
        <w:rPr>
          <w:rFonts w:ascii="Microsoft JhengHei" w:cs="Microsoft JhengHei" w:eastAsia="Microsoft JhengHei" w:hAnsi="Microsoft JhengHei"/>
          <w:b/>
          <w:bCs/>
          <w:sz w:val="21"/>
          <w:szCs w:val="21"/>
        </w:rPr>
        <w:t xml:space="preserve">不同天期交錯到期</w:t>
      </w:r>
      <w:r>
        <w:rPr>
          <w:rFonts w:ascii="Microsoft JhengHei" w:cs="Microsoft JhengHei" w:eastAsia="Microsoft JhengHei" w:hAnsi="Microsoft JhengHei"/>
          <w:sz w:val="21"/>
          <w:szCs w:val="21"/>
        </w:rPr>
        <w:t xml:space="preserve">方式掛單，確保</w:t>
      </w:r>
      <w:r>
        <w:rPr>
          <w:rFonts w:ascii="Microsoft JhengHei" w:cs="Microsoft JhengHei" w:eastAsia="Microsoft JhengHei" w:hAnsi="Microsoft JhengHei"/>
          <w:b/>
          <w:bCs/>
          <w:sz w:val="21"/>
          <w:szCs w:val="21"/>
        </w:rPr>
        <w:t xml:space="preserve">每一營業日均有部分資金到期回流</w:t>
      </w:r>
      <w:r>
        <w:rPr>
          <w:rFonts w:ascii="Microsoft JhengHei" w:cs="Microsoft JhengHei" w:eastAsia="Microsoft JhengHei" w:hAnsi="Microsoft JhengHei"/>
          <w:sz w:val="21"/>
          <w:szCs w:val="21"/>
        </w:rPr>
        <w:t xml:space="preserve">。</w:t>
      </w:r>
    </w:p>
    <w:p>
      <w:pPr>
        <w:pStyle w:val="ListParagraph"/>
        <w:numPr>
          <w:ilvl w:val="0"/>
          <w:numId w:val="3"/>
        </w:numPr>
        <w:spacing w:after="100" w:line="300"/>
      </w:pPr>
      <w:r>
        <w:rPr>
          <w:rFonts w:ascii="Microsoft JhengHei" w:cs="Microsoft JhengHei" w:eastAsia="Microsoft JhengHei" w:hAnsi="Microsoft JhengHei"/>
          <w:sz w:val="21"/>
          <w:szCs w:val="21"/>
        </w:rPr>
        <w:t xml:space="preserve">每日到期回流之資金依當時市場利率重新評估，再依 4.2 矩陣決定續作天期，形成</w:t>
      </w:r>
      <w:r>
        <w:rPr>
          <w:rFonts w:ascii="Microsoft JhengHei" w:cs="Microsoft JhengHei" w:eastAsia="Microsoft JhengHei" w:hAnsi="Microsoft JhengHei"/>
          <w:b/>
          <w:bCs/>
          <w:sz w:val="21"/>
          <w:szCs w:val="21"/>
        </w:rPr>
        <w:t xml:space="preserve">動態滾動階梯</w:t>
      </w:r>
      <w:r>
        <w:rPr>
          <w:rFonts w:ascii="Microsoft JhengHei" w:cs="Microsoft JhengHei" w:eastAsia="Microsoft JhengHei" w:hAnsi="Microsoft JhengHei"/>
          <w:sz w:val="21"/>
          <w:szCs w:val="21"/>
        </w:rPr>
        <w:t xml:space="preserve">。</w:t>
      </w:r>
    </w:p>
    <w:p>
      <w:pPr>
        <w:pStyle w:val="ListParagraph"/>
        <w:numPr>
          <w:ilvl w:val="0"/>
          <w:numId w:val="3"/>
        </w:numPr>
        <w:spacing w:after="100" w:line="300"/>
      </w:pPr>
      <w:r>
        <w:rPr>
          <w:rFonts w:ascii="Microsoft JhengHei" w:cs="Microsoft JhengHei" w:eastAsia="Microsoft JhengHei" w:hAnsi="Microsoft JhengHei"/>
          <w:sz w:val="21"/>
          <w:szCs w:val="21"/>
        </w:rPr>
        <w:t xml:space="preserve">財務部如遇臨時資金調度需求，可要求資產管理部</w:t>
      </w:r>
      <w:r>
        <w:rPr>
          <w:rFonts w:ascii="Microsoft JhengHei" w:cs="Microsoft JhengHei" w:eastAsia="Microsoft JhengHei" w:hAnsi="Microsoft JhengHei"/>
          <w:b/>
          <w:bCs/>
          <w:sz w:val="21"/>
          <w:szCs w:val="21"/>
        </w:rPr>
        <w:t xml:space="preserve">優先以「即將到期批次」因應</w:t>
      </w:r>
      <w:r>
        <w:rPr>
          <w:rFonts w:ascii="Microsoft JhengHei" w:cs="Microsoft JhengHei" w:eastAsia="Microsoft JhengHei" w:hAnsi="Microsoft JhengHei"/>
          <w:sz w:val="21"/>
          <w:szCs w:val="21"/>
        </w:rPr>
        <w:t xml:space="preserve">，非到期批次原則上不進行提前贖回（Bitfinex Margin Funding 出借部位在撮合成功後、天期屆滿前</w:t>
      </w:r>
      <w:r>
        <w:rPr>
          <w:rFonts w:ascii="Microsoft JhengHei" w:cs="Microsoft JhengHei" w:eastAsia="Microsoft JhengHei" w:hAnsi="Microsoft JhengHei"/>
          <w:b/>
          <w:bCs/>
          <w:sz w:val="21"/>
          <w:szCs w:val="21"/>
        </w:rPr>
        <w:t xml:space="preserve">不支援出借人單方面提前解約</w:t>
      </w:r>
      <w:r>
        <w:rPr>
          <w:rFonts w:ascii="Microsoft JhengHei" w:cs="Microsoft JhengHei" w:eastAsia="Microsoft JhengHei" w:hAnsi="Microsoft JhengHei"/>
          <w:sz w:val="21"/>
          <w:szCs w:val="21"/>
        </w:rPr>
        <w:t xml:space="preserve">，此為流動性風險之核心限制，已於第 5 章專項列示）。</w:t>
      </w:r>
    </w:p>
    <w:p>
      <w:pPr>
        <w:pStyle w:val="Heading1"/>
        <w:pBdr>
          <w:bottom w:val="single" w:color="1F3864" w:sz="6"/>
        </w:pBdr>
        <w:spacing w:after="200" w:before="400"/>
      </w:pPr>
      <w:r>
        <w:rPr>
          <w:rFonts w:ascii="Microsoft JhengHei" w:cs="Microsoft JhengHei" w:eastAsia="Microsoft JhengHei" w:hAnsi="Microsoft JhengHei"/>
          <w:b/>
          <w:bCs/>
          <w:color w:val="1F3864"/>
          <w:sz w:val="30"/>
          <w:szCs w:val="30"/>
        </w:rPr>
        <w:t xml:space="preserve">5. 財務風險矩陣與緩釋對策（Financial Risk Matrix &amp; Mitigation）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500"/>
        <w:gridCol w:w="3350"/>
      </w:tblGrid>
      <w:tr>
        <w:trPr>
          <w:tblHeader/>
        </w:trPr>
        <w:tc>
          <w:tcPr>
            <w:tcW w:type="dxa" w:w="19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風險類別</w:t>
            </w:r>
          </w:p>
        </w:tc>
        <w:tc>
          <w:tcPr>
            <w:tcW w:type="dxa" w:w="26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風險說明</w:t>
            </w:r>
          </w:p>
        </w:tc>
        <w:tc>
          <w:tcPr>
            <w:tcW w:type="dxa" w:w="15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影響程度</w:t>
            </w:r>
          </w:p>
        </w:tc>
        <w:tc>
          <w:tcPr>
            <w:tcW w:type="dxa" w:w="33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緩釋對策</w:t>
            </w:r>
          </w:p>
        </w:tc>
      </w:tr>
      <w:tr>
        <w:tc>
          <w:tcPr>
            <w:tcW w:type="dxa" w:w="19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① 交易對手信用與託管風險（Counterparty / Exchange Risk）</w:t>
            </w:r>
          </w:p>
        </w:tc>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資金存放於 Bitfinex 平台帳戶，若平台發生資不抵債、遭駭導致熱錢包資產減損、或監管機關強制凍結等事件，本金可能面臨減損或提領受限</w:t>
            </w:r>
          </w:p>
        </w:tc>
        <w:tc>
          <w:tcPr>
            <w:tcW w:type="dxa" w:w="15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高（尾部風險，發生機率低但影響重大）</w:t>
            </w:r>
          </w:p>
        </w:tc>
        <w:tc>
          <w:tcPr>
            <w:tcW w:type="dxa" w:w="33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(1) 單一平台曝險上限設定為資產管理部可運用美元總資產之 </w:t>
            </w:r>
            <w:r>
              <w:rPr>
                <w:rFonts w:ascii="Microsoft JhengHei" w:cs="Microsoft JhengHei" w:eastAsia="Microsoft JhengHei" w:hAnsi="Microsoft JhengHei"/>
                <w:b/>
                <w:bCs/>
                <w:sz w:val="19"/>
                <w:szCs w:val="19"/>
              </w:rPr>
              <w:t xml:space="preserve">10%–15%</w:t>
            </w:r>
            <w:r>
              <w:rPr>
                <w:rFonts w:ascii="Microsoft JhengHei" w:cs="Microsoft JhengHei" w:eastAsia="Microsoft JhengHei" w:hAnsi="Microsoft JhengHei"/>
                <w:sz w:val="19"/>
                <w:szCs w:val="19"/>
              </w:rPr>
              <w:t xml:space="preserve">，避免過度集中；(2) 持續監控 Bitfinex 財務透明度揭露（如平時公開之資產儲備證明）與市場信譽指標；(3) 建立平台異常事件（如異常出金延遲、負面新聞）之</w:t>
            </w:r>
            <w:r>
              <w:rPr>
                <w:rFonts w:ascii="Microsoft JhengHei" w:cs="Microsoft JhengHei" w:eastAsia="Microsoft JhengHei" w:hAnsi="Microsoft JhengHei"/>
                <w:b/>
                <w:bCs/>
                <w:sz w:val="19"/>
                <w:szCs w:val="19"/>
              </w:rPr>
              <w:t xml:space="preserve">即時預警與緊急撤資 SOP</w:t>
            </w:r>
          </w:p>
        </w:tc>
      </w:tr>
      <w:tr>
        <w:tc>
          <w:tcPr>
            <w:tcW w:type="dxa" w:w="19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② 流動性鎖定與資金召回限制（Liquidity Risk）</w:t>
            </w:r>
          </w:p>
        </w:tc>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出借部位於天期屆滿前無法單方面提前贖回，若企業臨時發生大額資金調度需求，可能面臨流動性錯配</w:t>
            </w:r>
          </w:p>
        </w:tc>
        <w:tc>
          <w:tcPr>
            <w:tcW w:type="dxa" w:w="15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中</w:t>
            </w:r>
          </w:p>
        </w:tc>
        <w:tc>
          <w:tcPr>
            <w:tcW w:type="dxa" w:w="33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(1) 依 4.2 矩陣，常態市場優先採 2–7 天短天期，確保高頻資金回流；(2) 實施 4.3 階梯式到期，確保每日均有到期批次；(3) 設定「應急資金保留水位」，出借部位僅限於超出企業日常營運資金需求之</w:t>
            </w:r>
            <w:r>
              <w:rPr>
                <w:rFonts w:ascii="Microsoft JhengHei" w:cs="Microsoft JhengHei" w:eastAsia="Microsoft JhengHei" w:hAnsi="Microsoft JhengHei"/>
                <w:b/>
                <w:bCs/>
                <w:sz w:val="19"/>
                <w:szCs w:val="19"/>
              </w:rPr>
              <w:t xml:space="preserve">明確閒置資金</w:t>
            </w:r>
            <w:r>
              <w:rPr>
                <w:rFonts w:ascii="Microsoft JhengHei" w:cs="Microsoft JhengHei" w:eastAsia="Microsoft JhengHei" w:hAnsi="Microsoft JhengHei"/>
                <w:sz w:val="19"/>
                <w:szCs w:val="19"/>
              </w:rPr>
              <w:t xml:space="preserve">，不動用營運週轉必要資金</w:t>
            </w:r>
          </w:p>
        </w:tc>
      </w:tr>
      <w:tr>
        <w:tc>
          <w:tcPr>
            <w:tcW w:type="dxa" w:w="19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③ API 資安與未授權操作風險（Operational &amp; Cyber Risk）</w:t>
            </w:r>
          </w:p>
        </w:tc>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API 金鑰若遭竊取或誤配置過高權限，可能導致資金遭未授權轉出或異常操作</w:t>
            </w:r>
          </w:p>
        </w:tc>
        <w:tc>
          <w:tcPr>
            <w:tcW w:type="dxa" w:w="15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高</w:t>
            </w:r>
          </w:p>
        </w:tc>
        <w:tc>
          <w:tcPr>
            <w:tcW w:type="dxa" w:w="33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(1) </w:t>
            </w:r>
            <w:r>
              <w:rPr>
                <w:rFonts w:ascii="Microsoft JhengHei" w:cs="Microsoft JhengHei" w:eastAsia="Microsoft JhengHei" w:hAnsi="Microsoft JhengHei"/>
                <w:b/>
                <w:bCs/>
                <w:sz w:val="19"/>
                <w:szCs w:val="19"/>
              </w:rPr>
              <w:t xml:space="preserve">最小授權架構</w:t>
            </w:r>
            <w:r>
              <w:rPr>
                <w:rFonts w:ascii="Microsoft JhengHei" w:cs="Microsoft JhengHei" w:eastAsia="Microsoft JhengHei" w:hAnsi="Microsoft JhengHei"/>
                <w:sz w:val="19"/>
                <w:szCs w:val="19"/>
              </w:rPr>
              <w:t xml:space="preserve">：API 金鑰僅開放 Margin Funding 讀寫權限，</w:t>
            </w:r>
            <w:r>
              <w:rPr>
                <w:rFonts w:ascii="Microsoft JhengHei" w:cs="Microsoft JhengHei" w:eastAsia="Microsoft JhengHei" w:hAnsi="Microsoft JhengHei"/>
                <w:b/>
                <w:bCs/>
                <w:sz w:val="19"/>
                <w:szCs w:val="19"/>
              </w:rPr>
              <w:t xml:space="preserve">物理性封死提幣（Withdrawal）與轉帳（Transfer）功能</w:t>
            </w:r>
            <w:r>
              <w:rPr>
                <w:rFonts w:ascii="Microsoft JhengHei" w:cs="Microsoft JhengHei" w:eastAsia="Microsoft JhengHei" w:hAnsi="Microsoft JhengHei"/>
                <w:sz w:val="19"/>
                <w:szCs w:val="19"/>
              </w:rPr>
              <w:t xml:space="preserve">；(2) API 金鑰採</w:t>
            </w:r>
            <w:r>
              <w:rPr>
                <w:rFonts w:ascii="Microsoft JhengHei" w:cs="Microsoft JhengHei" w:eastAsia="Microsoft JhengHei" w:hAnsi="Microsoft JhengHei"/>
                <w:b/>
                <w:bCs/>
                <w:sz w:val="19"/>
                <w:szCs w:val="19"/>
              </w:rPr>
              <w:t xml:space="preserve">白名單 IP 綁定</w:t>
            </w:r>
            <w:r>
              <w:rPr>
                <w:rFonts w:ascii="Microsoft JhengHei" w:cs="Microsoft JhengHei" w:eastAsia="Microsoft JhengHei" w:hAnsi="Microsoft JhengHei"/>
                <w:sz w:val="19"/>
                <w:szCs w:val="19"/>
              </w:rPr>
              <w:t xml:space="preserve">，僅允許自內部 VPC 固定出口 IP 存取；(3) 金鑰採</w:t>
            </w:r>
            <w:r>
              <w:rPr>
                <w:rFonts w:ascii="Microsoft JhengHei" w:cs="Microsoft JhengHei" w:eastAsia="Microsoft JhengHei" w:hAnsi="Microsoft JhengHei"/>
                <w:b/>
                <w:bCs/>
                <w:sz w:val="19"/>
                <w:szCs w:val="19"/>
              </w:rPr>
              <w:t xml:space="preserve">分權管理</w:t>
            </w:r>
            <w:r>
              <w:rPr>
                <w:rFonts w:ascii="Microsoft JhengHei" w:cs="Microsoft JhengHei" w:eastAsia="Microsoft JhengHei" w:hAnsi="Microsoft JhengHei"/>
                <w:sz w:val="19"/>
                <w:szCs w:val="19"/>
              </w:rPr>
              <w:t xml:space="preserve">（產生、保管、使用三權分立），並定期輪替（Key Rotation）；(4) 所有 API 呼叫紀錄留存供內部稽核與外部財務審計覆核</w:t>
            </w:r>
          </w:p>
        </w:tc>
      </w:tr>
      <w:tr>
        <w:tc>
          <w:tcPr>
            <w:tcW w:type="dxa" w:w="19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④ 極端穿倉與清算滑價風險（Tail-Risk &amp; Market Stress）</w:t>
            </w:r>
          </w:p>
        </w:tc>
        <w:tc>
          <w:tcPr>
            <w:tcW w:type="dxa" w:w="26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於極端行情（市場閃崩、流動性驟降）下，強平引擎可能因滑價無法完全覆蓋借款人未償融資本息，導致「穿倉」（擔保品價值跌破未償債務），出借人本金理論上存在減損可能</w:t>
            </w:r>
          </w:p>
        </w:tc>
        <w:tc>
          <w:tcPr>
            <w:tcW w:type="dxa" w:w="15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中低（歷史發生機率極低，但需納入壓力情境）</w:t>
            </w:r>
          </w:p>
        </w:tc>
        <w:tc>
          <w:tcPr>
            <w:tcW w:type="dxa" w:w="33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(1) Bitfinex 設有</w:t>
            </w:r>
            <w:r>
              <w:rPr>
                <w:rFonts w:ascii="Microsoft JhengHei" w:cs="Microsoft JhengHei" w:eastAsia="Microsoft JhengHei" w:hAnsi="Microsoft JhengHei"/>
                <w:b/>
                <w:bCs/>
                <w:sz w:val="19"/>
                <w:szCs w:val="19"/>
              </w:rPr>
              <w:t xml:space="preserve">平台風險準備金（Insurance Fund）機制</w:t>
            </w:r>
            <w:r>
              <w:rPr>
                <w:rFonts w:ascii="Microsoft JhengHei" w:cs="Microsoft JhengHei" w:eastAsia="Microsoft JhengHei" w:hAnsi="Microsoft JhengHei"/>
                <w:sz w:val="19"/>
                <w:szCs w:val="19"/>
              </w:rPr>
              <w:t xml:space="preserve">，用以吸收穿倉損失，優先於出借人本金前承擔損失；(2) 僅承作</w:t>
            </w:r>
            <w:r>
              <w:rPr>
                <w:rFonts w:ascii="Microsoft JhengHei" w:cs="Microsoft JhengHei" w:eastAsia="Microsoft JhengHei" w:hAnsi="Microsoft JhengHei"/>
                <w:b/>
                <w:bCs/>
                <w:sz w:val="19"/>
                <w:szCs w:val="19"/>
              </w:rPr>
              <w:t xml:space="preserve">充分超額抵押（Over-collateralized）之主流交易對</w:t>
            </w:r>
            <w:r>
              <w:rPr>
                <w:rFonts w:ascii="Microsoft JhengHei" w:cs="Microsoft JhengHei" w:eastAsia="Microsoft JhengHei" w:hAnsi="Microsoft JhengHei"/>
                <w:sz w:val="19"/>
                <w:szCs w:val="19"/>
              </w:rPr>
              <w:t xml:space="preserve">融資需求，避免涉入低流動性、高波動之邊緣資產槓桿部位；(3) 於計畫治理層設定</w:t>
            </w:r>
            <w:r>
              <w:rPr>
                <w:rFonts w:ascii="Microsoft JhengHei" w:cs="Microsoft JhengHei" w:eastAsia="Microsoft JhengHei" w:hAnsi="Microsoft JhengHei"/>
                <w:b/>
                <w:bCs/>
                <w:sz w:val="19"/>
                <w:szCs w:val="19"/>
              </w:rPr>
              <w:t xml:space="preserve">單一平台曝險上限</w:t>
            </w:r>
            <w:r>
              <w:rPr>
                <w:rFonts w:ascii="Microsoft JhengHei" w:cs="Microsoft JhengHei" w:eastAsia="Microsoft JhengHei" w:hAnsi="Microsoft JhengHei"/>
                <w:sz w:val="19"/>
                <w:szCs w:val="19"/>
              </w:rPr>
              <w:t xml:space="preserve">與</w:t>
            </w:r>
            <w:r>
              <w:rPr>
                <w:rFonts w:ascii="Microsoft JhengHei" w:cs="Microsoft JhengHei" w:eastAsia="Microsoft JhengHei" w:hAnsi="Microsoft JhengHei"/>
                <w:b/>
                <w:bCs/>
                <w:sz w:val="19"/>
                <w:szCs w:val="19"/>
              </w:rPr>
              <w:t xml:space="preserve">壓力情境定期回測</w:t>
            </w:r>
          </w:p>
        </w:tc>
      </w:tr>
    </w:tbl>
    <w:p>
      <w:pPr>
        <w:spacing w:after="160" w:before="200"/>
      </w:pPr>
      <w:r>
        <w:rPr>
          <w:rFonts w:ascii="Microsoft JhengHei" w:cs="Microsoft JhengHei" w:eastAsia="Microsoft JhengHei" w:hAnsi="Microsoft JhengHei"/>
          <w:b/>
          <w:bCs/>
          <w:sz w:val="21"/>
          <w:szCs w:val="21"/>
        </w:rPr>
        <w:t xml:space="preserve">財務部審查重點提示：</w:t>
      </w:r>
      <w:r>
        <w:rPr>
          <w:rFonts w:ascii="Microsoft JhengHei" w:cs="Microsoft JhengHei" w:eastAsia="Microsoft JhengHei" w:hAnsi="Microsoft JhengHei"/>
          <w:sz w:val="21"/>
          <w:szCs w:val="21"/>
        </w:rPr>
        <w:t xml:space="preserve"> 上述四大風險中，①與③屬於</w:t>
      </w:r>
      <w:r>
        <w:rPr>
          <w:rFonts w:ascii="Microsoft JhengHei" w:cs="Microsoft JhengHei" w:eastAsia="Microsoft JhengHei" w:hAnsi="Microsoft JhengHei"/>
          <w:b/>
          <w:bCs/>
          <w:sz w:val="21"/>
          <w:szCs w:val="21"/>
        </w:rPr>
        <w:t xml:space="preserve">可透過內控設計顯著降低</w:t>
      </w:r>
      <w:r>
        <w:rPr>
          <w:rFonts w:ascii="Microsoft JhengHei" w:cs="Microsoft JhengHei" w:eastAsia="Microsoft JhengHei" w:hAnsi="Microsoft JhengHei"/>
          <w:sz w:val="21"/>
          <w:szCs w:val="21"/>
        </w:rPr>
        <w:t xml:space="preserve">之操作性風險，②屬於</w:t>
      </w:r>
      <w:r>
        <w:rPr>
          <w:rFonts w:ascii="Microsoft JhengHei" w:cs="Microsoft JhengHei" w:eastAsia="Microsoft JhengHei" w:hAnsi="Microsoft JhengHei"/>
          <w:b/>
          <w:bCs/>
          <w:sz w:val="21"/>
          <w:szCs w:val="21"/>
        </w:rPr>
        <w:t xml:space="preserve">可透過天期管理主動控制</w:t>
      </w:r>
      <w:r>
        <w:rPr>
          <w:rFonts w:ascii="Microsoft JhengHei" w:cs="Microsoft JhengHei" w:eastAsia="Microsoft JhengHei" w:hAnsi="Microsoft JhengHei"/>
          <w:sz w:val="21"/>
          <w:szCs w:val="21"/>
        </w:rPr>
        <w:t xml:space="preserve">之流動性風險，④屬於</w:t>
      </w:r>
      <w:r>
        <w:rPr>
          <w:rFonts w:ascii="Microsoft JhengHei" w:cs="Microsoft JhengHei" w:eastAsia="Microsoft JhengHei" w:hAnsi="Microsoft JhengHei"/>
          <w:b/>
          <w:bCs/>
          <w:sz w:val="21"/>
          <w:szCs w:val="21"/>
        </w:rPr>
        <w:t xml:space="preserve">機率極低但需納入壓力測試之尾部風險</w:t>
      </w:r>
      <w:r>
        <w:rPr>
          <w:rFonts w:ascii="Microsoft JhengHei" w:cs="Microsoft JhengHei" w:eastAsia="Microsoft JhengHei" w:hAnsi="Microsoft JhengHei"/>
          <w:sz w:val="21"/>
          <w:szCs w:val="21"/>
        </w:rPr>
        <w:t xml:space="preserve">。整體而言，本計畫之風險結構與傳統「短期銀行同業拆放（Interbank Placement）」具有相似之風險輪廓，唯多出①（平台信用）與③（API 資安）兩項需額外管理之風險層。</w:t>
      </w:r>
    </w:p>
    <w:p>
      <w:pPr>
        <w:pStyle w:val="Heading1"/>
        <w:pBdr>
          <w:bottom w:val="single" w:color="1F3864" w:sz="6"/>
        </w:pBdr>
        <w:spacing w:after="200" w:before="400"/>
      </w:pPr>
      <w:r>
        <w:rPr>
          <w:rFonts w:ascii="Microsoft JhengHei" w:cs="Microsoft JhengHei" w:eastAsia="Microsoft JhengHei" w:hAnsi="Microsoft JhengHei"/>
          <w:b/>
          <w:bCs/>
          <w:color w:val="1F3864"/>
          <w:sz w:val="30"/>
          <w:szCs w:val="30"/>
        </w:rPr>
        <w:t xml:space="preserve">6. 財務效益情境試算（Financial Sensitivity Projections）</w:t>
      </w:r>
    </w:p>
    <w:p>
      <w:pPr>
        <w:pStyle w:val="Heading2"/>
        <w:spacing w:after="140" w:before="300"/>
      </w:pPr>
      <w:r>
        <w:rPr>
          <w:rFonts w:ascii="Microsoft JhengHei" w:cs="Microsoft JhengHei" w:eastAsia="Microsoft JhengHei" w:hAnsi="Microsoft JhengHei"/>
          <w:b/>
          <w:bCs/>
          <w:color w:val="1F3864"/>
          <w:sz w:val="25"/>
          <w:szCs w:val="25"/>
        </w:rPr>
        <w:t xml:space="preserve">6.1 試算前提</w:t>
      </w:r>
    </w:p>
    <w:p>
      <w:pPr>
        <w:pStyle w:val="ListParagraph"/>
        <w:numPr>
          <w:ilvl w:val="0"/>
          <w:numId w:val="3"/>
        </w:numPr>
        <w:spacing w:after="100" w:line="300"/>
      </w:pPr>
      <w:r>
        <w:rPr>
          <w:rFonts w:ascii="Microsoft JhengHei" w:cs="Microsoft JhengHei" w:eastAsia="Microsoft JhengHei" w:hAnsi="Microsoft JhengHei"/>
          <w:b/>
          <w:bCs/>
          <w:sz w:val="21"/>
          <w:szCs w:val="21"/>
        </w:rPr>
        <w:t xml:space="preserve">本金：</w:t>
      </w:r>
      <w:r>
        <w:rPr>
          <w:rFonts w:ascii="Microsoft JhengHei" w:cs="Microsoft JhengHei" w:eastAsia="Microsoft JhengHei" w:hAnsi="Microsoft JhengHei"/>
          <w:sz w:val="21"/>
          <w:szCs w:val="21"/>
        </w:rPr>
        <w:t xml:space="preserve"> USD 1,000,000（公司自有資金）</w:t>
      </w:r>
    </w:p>
    <w:p>
      <w:pPr>
        <w:pStyle w:val="ListParagraph"/>
        <w:numPr>
          <w:ilvl w:val="0"/>
          <w:numId w:val="3"/>
        </w:numPr>
        <w:spacing w:after="100" w:line="300"/>
      </w:pPr>
      <w:r>
        <w:rPr>
          <w:rFonts w:ascii="Microsoft JhengHei" w:cs="Microsoft JhengHei" w:eastAsia="Microsoft JhengHei" w:hAnsi="Microsoft JhengHei"/>
          <w:b/>
          <w:bCs/>
          <w:sz w:val="21"/>
          <w:szCs w:val="21"/>
        </w:rPr>
        <w:t xml:space="preserve">費用結構：</w:t>
      </w:r>
      <w:r>
        <w:rPr>
          <w:rFonts w:ascii="Microsoft JhengHei" w:cs="Microsoft JhengHei" w:eastAsia="Microsoft JhengHei" w:hAnsi="Microsoft JhengHei"/>
          <w:sz w:val="21"/>
          <w:szCs w:val="21"/>
        </w:rPr>
        <w:t xml:space="preserve"> 下列各情境所示之淨年化收益率（Net APY）</w:t>
      </w:r>
      <w:r>
        <w:rPr>
          <w:rFonts w:ascii="Microsoft JhengHei" w:cs="Microsoft JhengHei" w:eastAsia="Microsoft JhengHei" w:hAnsi="Microsoft JhengHei"/>
          <w:b/>
          <w:bCs/>
          <w:sz w:val="21"/>
          <w:szCs w:val="21"/>
        </w:rPr>
        <w:t xml:space="preserve">已扣除 Bitfinex 平台 15% 服務費</w:t>
      </w:r>
    </w:p>
    <w:p>
      <w:pPr>
        <w:pStyle w:val="ListParagraph"/>
        <w:numPr>
          <w:ilvl w:val="0"/>
          <w:numId w:val="3"/>
        </w:numPr>
        <w:spacing w:after="100" w:line="300"/>
      </w:pPr>
      <w:r>
        <w:rPr>
          <w:rFonts w:ascii="Microsoft JhengHei" w:cs="Microsoft JhengHei" w:eastAsia="Microsoft JhengHei" w:hAnsi="Microsoft JhengHei"/>
          <w:b/>
          <w:bCs/>
          <w:sz w:val="21"/>
          <w:szCs w:val="21"/>
        </w:rPr>
        <w:t xml:space="preserve">無風險利率基準：</w:t>
      </w:r>
      <w:r>
        <w:rPr>
          <w:rFonts w:ascii="Microsoft JhengHei" w:cs="Microsoft JhengHei" w:eastAsia="Microsoft JhengHei" w:hAnsi="Microsoft JhengHei"/>
          <w:sz w:val="21"/>
          <w:szCs w:val="21"/>
        </w:rPr>
        <w:t xml:space="preserve"> SOFR / 3M T-Bill ≈ </w:t>
      </w:r>
      <w:r>
        <w:rPr>
          <w:rFonts w:ascii="Microsoft JhengHei" w:cs="Microsoft JhengHei" w:eastAsia="Microsoft JhengHei" w:hAnsi="Microsoft JhengHei"/>
          <w:b/>
          <w:bCs/>
          <w:sz w:val="21"/>
          <w:szCs w:val="21"/>
        </w:rPr>
        <w:t xml:space="preserve">4.5%</w:t>
      </w:r>
      <w:r>
        <w:rPr>
          <w:rFonts w:ascii="Microsoft JhengHei" w:cs="Microsoft JhengHei" w:eastAsia="Microsoft JhengHei" w:hAnsi="Microsoft JhengHei"/>
          <w:sz w:val="21"/>
          <w:szCs w:val="21"/>
        </w:rPr>
        <w:t xml:space="preserve">（年化）</w:t>
      </w:r>
    </w:p>
    <w:p>
      <w:pPr>
        <w:pStyle w:val="Heading2"/>
        <w:spacing w:after="140" w:before="300"/>
      </w:pPr>
      <w:r>
        <w:rPr>
          <w:rFonts w:ascii="Microsoft JhengHei" w:cs="Microsoft JhengHei" w:eastAsia="Microsoft JhengHei" w:hAnsi="Microsoft JhengHei"/>
          <w:b/>
          <w:bCs/>
          <w:color w:val="1F3864"/>
          <w:sz w:val="25"/>
          <w:szCs w:val="25"/>
        </w:rPr>
        <w:t xml:space="preserve">6.2 三情境財務效益試算表</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50"/>
        <w:gridCol w:w="2450"/>
        <w:gridCol w:w="950"/>
        <w:gridCol w:w="850"/>
        <w:gridCol w:w="1050"/>
        <w:gridCol w:w="1050"/>
        <w:gridCol w:w="1150"/>
        <w:gridCol w:w="800"/>
      </w:tblGrid>
      <w:tr>
        <w:trPr>
          <w:tblHeader/>
        </w:trPr>
        <w:tc>
          <w:tcPr>
            <w:tcW w:type="dxa" w:w="10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情境</w:t>
            </w:r>
          </w:p>
        </w:tc>
        <w:tc>
          <w:tcPr>
            <w:tcW w:type="dxa" w:w="24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市場條件假設</w:t>
            </w:r>
          </w:p>
        </w:tc>
        <w:tc>
          <w:tcPr>
            <w:tcW w:type="dxa" w:w="9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毛年化利率
（估算）</w:t>
            </w:r>
          </w:p>
        </w:tc>
        <w:tc>
          <w:tcPr>
            <w:tcW w:type="dxa" w:w="8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淨年化
收益率</w:t>
            </w:r>
          </w:p>
        </w:tc>
        <w:tc>
          <w:tcPr>
            <w:tcW w:type="dxa" w:w="10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月度預期
淨利(USD)</w:t>
            </w:r>
          </w:p>
        </w:tc>
        <w:tc>
          <w:tcPr>
            <w:tcW w:type="dxa" w:w="10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年度預期
淨利(USD)</w:t>
            </w:r>
          </w:p>
        </w:tc>
        <w:tc>
          <w:tcPr>
            <w:tcW w:type="dxa" w:w="11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年度超額收益
Alpha(USD)</w:t>
            </w:r>
          </w:p>
        </w:tc>
        <w:tc>
          <w:tcPr>
            <w:tcW w:type="dxa" w:w="8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超額利差
(bps)</w:t>
            </w:r>
          </w:p>
        </w:tc>
      </w:tr>
      <w:tr>
        <w:tc>
          <w:tcPr>
            <w:tcW w:type="dxa" w:w="10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保守情境
（市場冰河期）</w:t>
            </w:r>
          </w:p>
        </w:tc>
        <w:tc>
          <w:tcPr>
            <w:tcW w:type="dxa" w:w="24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加密貨幣市場長期橫盤、槓桿需求低迷</w:t>
            </w:r>
          </w:p>
        </w:tc>
        <w:tc>
          <w:tcPr>
            <w:tcW w:type="dxa" w:w="9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 5.9%</w:t>
            </w:r>
          </w:p>
        </w:tc>
        <w:tc>
          <w:tcPr>
            <w:tcW w:type="dxa" w:w="8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5.0%</w:t>
            </w:r>
          </w:p>
        </w:tc>
        <w:tc>
          <w:tcPr>
            <w:tcW w:type="dxa" w:w="10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$4,166.7</w:t>
            </w:r>
          </w:p>
        </w:tc>
        <w:tc>
          <w:tcPr>
            <w:tcW w:type="dxa" w:w="10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$50,000</w:t>
            </w:r>
          </w:p>
        </w:tc>
        <w:tc>
          <w:tcPr>
            <w:tcW w:type="dxa" w:w="11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+$5,000</w:t>
            </w:r>
          </w:p>
        </w:tc>
        <w:tc>
          <w:tcPr>
            <w:tcW w:type="dxa" w:w="8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+50 bps</w:t>
            </w:r>
          </w:p>
        </w:tc>
      </w:tr>
      <w:tr>
        <w:tc>
          <w:tcPr>
            <w:tcW w:type="dxa" w:w="10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基準情境
（提案目標）</w:t>
            </w:r>
          </w:p>
        </w:tc>
        <w:tc>
          <w:tcPr>
            <w:tcW w:type="dxa" w:w="24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市場中性偏活躍，符合歷史利率中樞</w:t>
            </w:r>
          </w:p>
        </w:tc>
        <w:tc>
          <w:tcPr>
            <w:tcW w:type="dxa" w:w="9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 7.6%</w:t>
            </w:r>
          </w:p>
        </w:tc>
        <w:tc>
          <w:tcPr>
            <w:tcW w:type="dxa" w:w="8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6.5%</w:t>
            </w:r>
          </w:p>
        </w:tc>
        <w:tc>
          <w:tcPr>
            <w:tcW w:type="dxa" w:w="10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$5,416.7</w:t>
            </w:r>
          </w:p>
        </w:tc>
        <w:tc>
          <w:tcPr>
            <w:tcW w:type="dxa" w:w="10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$65,000</w:t>
            </w:r>
          </w:p>
        </w:tc>
        <w:tc>
          <w:tcPr>
            <w:tcW w:type="dxa" w:w="11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+$20,000</w:t>
            </w:r>
          </w:p>
        </w:tc>
        <w:tc>
          <w:tcPr>
            <w:tcW w:type="dxa" w:w="8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+200 bps</w:t>
            </w:r>
          </w:p>
        </w:tc>
      </w:tr>
      <w:tr>
        <w:tc>
          <w:tcPr>
            <w:tcW w:type="dxa" w:w="10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樂觀情境
（市場活躍期）</w:t>
            </w:r>
          </w:p>
        </w:tc>
        <w:tc>
          <w:tcPr>
            <w:tcW w:type="dxa" w:w="24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多空槓桿需求旺盛、資金費率／借貸利率顯著上升</w:t>
            </w:r>
          </w:p>
        </w:tc>
        <w:tc>
          <w:tcPr>
            <w:tcW w:type="dxa" w:w="9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 14.1%+</w:t>
            </w:r>
          </w:p>
        </w:tc>
        <w:tc>
          <w:tcPr>
            <w:tcW w:type="dxa" w:w="8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12.0%+</w:t>
            </w:r>
          </w:p>
        </w:tc>
        <w:tc>
          <w:tcPr>
            <w:tcW w:type="dxa" w:w="10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$10,000.0+</w:t>
            </w:r>
          </w:p>
        </w:tc>
        <w:tc>
          <w:tcPr>
            <w:tcW w:type="dxa" w:w="10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$120,000+</w:t>
            </w:r>
          </w:p>
        </w:tc>
        <w:tc>
          <w:tcPr>
            <w:tcW w:type="dxa" w:w="11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+$75,000+</w:t>
            </w:r>
          </w:p>
        </w:tc>
        <w:tc>
          <w:tcPr>
            <w:tcW w:type="dxa" w:w="8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+750 bps</w:t>
            </w:r>
          </w:p>
        </w:tc>
      </w:tr>
    </w:tbl>
    <w:p>
      <w:pPr>
        <w:spacing w:after="200" w:before="100"/>
      </w:pPr>
      <w:r>
        <w:rPr>
          <w:rFonts w:ascii="Microsoft JhengHei" w:cs="Microsoft JhengHei" w:eastAsia="Microsoft JhengHei" w:hAnsi="Microsoft JhengHei"/>
          <w:i/>
          <w:iCs/>
          <w:color w:val="595959"/>
          <w:sz w:val="18"/>
          <w:szCs w:val="18"/>
        </w:rPr>
        <w:t xml:space="preserve">＊毛年化利率為依「淨年化 = 毛年化 × (1 − 15%)」反推之估算值，僅供參考，實際毛利率依市場即時撮合結果而定。</w:t>
      </w:r>
    </w:p>
    <w:p>
      <w:pPr>
        <w:pStyle w:val="Heading2"/>
        <w:spacing w:after="140" w:before="300"/>
      </w:pPr>
      <w:r>
        <w:rPr>
          <w:rFonts w:ascii="Microsoft JhengHei" w:cs="Microsoft JhengHei" w:eastAsia="Microsoft JhengHei" w:hAnsi="Microsoft JhengHei"/>
          <w:b/>
          <w:bCs/>
          <w:color w:val="1F3864"/>
          <w:sz w:val="25"/>
          <w:szCs w:val="25"/>
        </w:rPr>
        <w:t xml:space="preserve">6.3 財務部解讀重點</w:t>
      </w:r>
    </w:p>
    <w:p>
      <w:pPr>
        <w:pStyle w:val="ListParagraph"/>
        <w:numPr>
          <w:ilvl w:val="0"/>
          <w:numId w:val="2"/>
        </w:numPr>
        <w:spacing w:after="100" w:line="300"/>
      </w:pPr>
      <w:r>
        <w:rPr>
          <w:rFonts w:ascii="Microsoft JhengHei" w:cs="Microsoft JhengHei" w:eastAsia="Microsoft JhengHei" w:hAnsi="Microsoft JhengHei"/>
          <w:b/>
          <w:bCs/>
          <w:sz w:val="21"/>
          <w:szCs w:val="21"/>
        </w:rPr>
        <w:t xml:space="preserve">即便於保守情境（市場冰河期）</w:t>
      </w:r>
      <w:r>
        <w:rPr>
          <w:rFonts w:ascii="Microsoft JhengHei" w:cs="Microsoft JhengHei" w:eastAsia="Microsoft JhengHei" w:hAnsi="Microsoft JhengHei"/>
          <w:sz w:val="21"/>
          <w:szCs w:val="21"/>
        </w:rPr>
        <w:t xml:space="preserve">，本計畫仍可產生</w:t>
      </w:r>
      <w:r>
        <w:rPr>
          <w:rFonts w:ascii="Microsoft JhengHei" w:cs="Microsoft JhengHei" w:eastAsia="Microsoft JhengHei" w:hAnsi="Microsoft JhengHei"/>
          <w:b/>
          <w:bCs/>
          <w:sz w:val="21"/>
          <w:szCs w:val="21"/>
        </w:rPr>
        <w:t xml:space="preserve">正向超額利差（+50 bps）</w:t>
      </w:r>
      <w:r>
        <w:rPr>
          <w:rFonts w:ascii="Microsoft JhengHei" w:cs="Microsoft JhengHei" w:eastAsia="Microsoft JhengHei" w:hAnsi="Microsoft JhengHei"/>
          <w:sz w:val="21"/>
          <w:szCs w:val="21"/>
        </w:rPr>
        <w:t xml:space="preserve">，優於單純持有美元活存或短天期國庫券。</w:t>
      </w:r>
    </w:p>
    <w:p>
      <w:pPr>
        <w:pStyle w:val="ListParagraph"/>
        <w:numPr>
          <w:ilvl w:val="0"/>
          <w:numId w:val="2"/>
        </w:numPr>
        <w:spacing w:after="100" w:line="300"/>
      </w:pPr>
      <w:r>
        <w:rPr>
          <w:rFonts w:ascii="Microsoft JhengHei" w:cs="Microsoft JhengHei" w:eastAsia="Microsoft JhengHei" w:hAnsi="Microsoft JhengHei"/>
          <w:b/>
          <w:bCs/>
          <w:sz w:val="21"/>
          <w:szCs w:val="21"/>
        </w:rPr>
        <w:t xml:space="preserve">基準情境</w:t>
      </w:r>
      <w:r>
        <w:rPr>
          <w:rFonts w:ascii="Microsoft JhengHei" w:cs="Microsoft JhengHei" w:eastAsia="Microsoft JhengHei" w:hAnsi="Microsoft JhengHei"/>
          <w:sz w:val="21"/>
          <w:szCs w:val="21"/>
        </w:rPr>
        <w:t xml:space="preserve">（提案目標）年度淨利達 </w:t>
      </w:r>
      <w:r>
        <w:rPr>
          <w:rFonts w:ascii="Microsoft JhengHei" w:cs="Microsoft JhengHei" w:eastAsia="Microsoft JhengHei" w:hAnsi="Microsoft JhengHei"/>
          <w:b/>
          <w:bCs/>
          <w:sz w:val="21"/>
          <w:szCs w:val="21"/>
        </w:rPr>
        <w:t xml:space="preserve">USD 65,000</w:t>
      </w:r>
      <w:r>
        <w:rPr>
          <w:rFonts w:ascii="Microsoft JhengHei" w:cs="Microsoft JhengHei" w:eastAsia="Microsoft JhengHei" w:hAnsi="Microsoft JhengHei"/>
          <w:sz w:val="21"/>
          <w:szCs w:val="21"/>
        </w:rPr>
        <w:t xml:space="preserve">，相較無風險利率基準超額 </w:t>
      </w:r>
      <w:r>
        <w:rPr>
          <w:rFonts w:ascii="Microsoft JhengHei" w:cs="Microsoft JhengHei" w:eastAsia="Microsoft JhengHei" w:hAnsi="Microsoft JhengHei"/>
          <w:b/>
          <w:bCs/>
          <w:sz w:val="21"/>
          <w:szCs w:val="21"/>
        </w:rPr>
        <w:t xml:space="preserve">USD 20,000</w:t>
      </w:r>
      <w:r>
        <w:rPr>
          <w:rFonts w:ascii="Microsoft JhengHei" w:cs="Microsoft JhengHei" w:eastAsia="Microsoft JhengHei" w:hAnsi="Microsoft JhengHei"/>
          <w:sz w:val="21"/>
          <w:szCs w:val="21"/>
        </w:rPr>
        <w:t xml:space="preserve">，超額利差達 </w:t>
      </w:r>
      <w:r>
        <w:rPr>
          <w:rFonts w:ascii="Microsoft JhengHei" w:cs="Microsoft JhengHei" w:eastAsia="Microsoft JhengHei" w:hAnsi="Microsoft JhengHei"/>
          <w:b/>
          <w:bCs/>
          <w:sz w:val="21"/>
          <w:szCs w:val="21"/>
        </w:rPr>
        <w:t xml:space="preserve">200 bps</w:t>
      </w:r>
      <w:r>
        <w:rPr>
          <w:rFonts w:ascii="Microsoft JhengHei" w:cs="Microsoft JhengHei" w:eastAsia="Microsoft JhengHei" w:hAnsi="Microsoft JhengHei"/>
          <w:sz w:val="21"/>
          <w:szCs w:val="21"/>
        </w:rPr>
        <w:t xml:space="preserve">，符合財務部設定之 150–200 bps 流動性風險溢價門檻。</w:t>
      </w:r>
    </w:p>
    <w:p>
      <w:pPr>
        <w:pStyle w:val="ListParagraph"/>
        <w:numPr>
          <w:ilvl w:val="0"/>
          <w:numId w:val="2"/>
        </w:numPr>
        <w:spacing w:after="100" w:line="300"/>
      </w:pPr>
      <w:r>
        <w:rPr>
          <w:rFonts w:ascii="Microsoft JhengHei" w:cs="Microsoft JhengHei" w:eastAsia="Microsoft JhengHei" w:hAnsi="Microsoft JhengHei"/>
          <w:b/>
          <w:bCs/>
          <w:sz w:val="21"/>
          <w:szCs w:val="21"/>
        </w:rPr>
        <w:t xml:space="preserve">樂觀情境</w:t>
      </w:r>
      <w:r>
        <w:rPr>
          <w:rFonts w:ascii="Microsoft JhengHei" w:cs="Microsoft JhengHei" w:eastAsia="Microsoft JhengHei" w:hAnsi="Microsoft JhengHei"/>
          <w:sz w:val="21"/>
          <w:szCs w:val="21"/>
        </w:rPr>
        <w:t xml:space="preserve">下超額收益可望達年度 </w:t>
      </w:r>
      <w:r>
        <w:rPr>
          <w:rFonts w:ascii="Microsoft JhengHei" w:cs="Microsoft JhengHei" w:eastAsia="Microsoft JhengHei" w:hAnsi="Microsoft JhengHei"/>
          <w:b/>
          <w:bCs/>
          <w:sz w:val="21"/>
          <w:szCs w:val="21"/>
        </w:rPr>
        <w:t xml:space="preserve">USD 75,000 以上</w:t>
      </w:r>
      <w:r>
        <w:rPr>
          <w:rFonts w:ascii="Microsoft JhengHei" w:cs="Microsoft JhengHei" w:eastAsia="Microsoft JhengHei" w:hAnsi="Microsoft JhengHei"/>
          <w:sz w:val="21"/>
          <w:szCs w:val="21"/>
        </w:rPr>
        <w:t xml:space="preserve">，凸顯加密貨幣槓桿融資市場於行情活躍期之收益彈性，惟財務部審查應以</w:t>
      </w:r>
      <w:r>
        <w:rPr>
          <w:rFonts w:ascii="Microsoft JhengHei" w:cs="Microsoft JhengHei" w:eastAsia="Microsoft JhengHei" w:hAnsi="Microsoft JhengHei"/>
          <w:b/>
          <w:bCs/>
          <w:sz w:val="21"/>
          <w:szCs w:val="21"/>
        </w:rPr>
        <w:t xml:space="preserve">保守與基準情境</w:t>
      </w:r>
      <w:r>
        <w:rPr>
          <w:rFonts w:ascii="Microsoft JhengHei" w:cs="Microsoft JhengHei" w:eastAsia="Microsoft JhengHei" w:hAnsi="Microsoft JhengHei"/>
          <w:sz w:val="21"/>
          <w:szCs w:val="21"/>
        </w:rPr>
        <w:t xml:space="preserve">作為額度核准之主要依據，樂觀情境僅作為上檔空間參考，</w:t>
      </w:r>
      <w:r>
        <w:rPr>
          <w:rFonts w:ascii="Microsoft JhengHei" w:cs="Microsoft JhengHei" w:eastAsia="Microsoft JhengHei" w:hAnsi="Microsoft JhengHei"/>
          <w:b/>
          <w:bCs/>
          <w:sz w:val="21"/>
          <w:szCs w:val="21"/>
        </w:rPr>
        <w:t xml:space="preserve">不作為資金規劃之基準假設</w:t>
      </w:r>
      <w:r>
        <w:rPr>
          <w:rFonts w:ascii="Microsoft JhengHei" w:cs="Microsoft JhengHei" w:eastAsia="Microsoft JhengHei" w:hAnsi="Microsoft JhengHei"/>
          <w:sz w:val="21"/>
          <w:szCs w:val="21"/>
        </w:rPr>
        <w:t xml:space="preserve">。</w:t>
      </w:r>
    </w:p>
    <w:p>
      <w:pPr>
        <w:pStyle w:val="Heading1"/>
        <w:pBdr>
          <w:bottom w:val="single" w:color="1F3864" w:sz="6"/>
        </w:pBdr>
        <w:spacing w:after="200" w:before="400"/>
      </w:pPr>
      <w:r>
        <w:rPr>
          <w:rFonts w:ascii="Microsoft JhengHei" w:cs="Microsoft JhengHei" w:eastAsia="Microsoft JhengHei" w:hAnsi="Microsoft JhengHei"/>
          <w:b/>
          <w:bCs/>
          <w:color w:val="1F3864"/>
          <w:sz w:val="30"/>
          <w:szCs w:val="30"/>
        </w:rPr>
        <w:t xml:space="preserve">7. 內控審查、時程與 PoC 試點計畫（Internal Governance &amp; Roadmap）</w:t>
      </w:r>
    </w:p>
    <w:p>
      <w:pPr>
        <w:pStyle w:val="Heading2"/>
        <w:spacing w:after="140" w:before="300"/>
      </w:pPr>
      <w:r>
        <w:rPr>
          <w:rFonts w:ascii="Microsoft JhengHei" w:cs="Microsoft JhengHei" w:eastAsia="Microsoft JhengHei" w:hAnsi="Microsoft JhengHei"/>
          <w:b/>
          <w:bCs/>
          <w:color w:val="1F3864"/>
          <w:sz w:val="25"/>
          <w:szCs w:val="25"/>
        </w:rPr>
        <w:t xml:space="preserve">7.1 財務審計與帳務處理方案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項目</w:t>
            </w:r>
          </w:p>
        </w:tc>
        <w:tc>
          <w:tcPr>
            <w:tcW w:type="dxa" w:w="71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處理原則</w:t>
            </w:r>
          </w:p>
        </w:tc>
      </w:tr>
      <w:tr>
        <w:tc>
          <w:tcPr>
            <w:tcW w:type="dxa" w:w="22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利息收入認列</w:t>
            </w:r>
          </w:p>
        </w:tc>
        <w:tc>
          <w:tcPr>
            <w:tcW w:type="dxa" w:w="71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依權責發生制（Accrual Basis），按日計提應計利息收入（Interest Receivable），於出借部位到期或利息實際入帳時沖轉認列為利息收入</w:t>
            </w:r>
          </w:p>
        </w:tc>
      </w:tr>
      <w:tr>
        <w:tc>
          <w:tcPr>
            <w:tcW w:type="dxa" w:w="22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銀行出入金對帳</w:t>
            </w:r>
          </w:p>
        </w:tc>
        <w:tc>
          <w:tcPr>
            <w:tcW w:type="dxa" w:w="71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資金出入 Bitfinex 平台之美元入金、出金紀錄，須與公司銀行帳戶對帳單</w:t>
            </w:r>
            <w:r>
              <w:rPr>
                <w:rFonts w:ascii="Microsoft JhengHei" w:cs="Microsoft JhengHei" w:eastAsia="Microsoft JhengHei" w:hAnsi="Microsoft JhengHei"/>
                <w:b/>
                <w:bCs/>
                <w:sz w:val="19"/>
                <w:szCs w:val="19"/>
              </w:rPr>
              <w:t xml:space="preserve">逐筆核對</w:t>
            </w:r>
            <w:r>
              <w:rPr>
                <w:rFonts w:ascii="Microsoft JhengHei" w:cs="Microsoft JhengHei" w:eastAsia="Microsoft JhengHei" w:hAnsi="Microsoft JhengHei"/>
                <w:sz w:val="19"/>
                <w:szCs w:val="19"/>
              </w:rPr>
              <w:t xml:space="preserve">，並由財務部與資產管理部</w:t>
            </w:r>
            <w:r>
              <w:rPr>
                <w:rFonts w:ascii="Microsoft JhengHei" w:cs="Microsoft JhengHei" w:eastAsia="Microsoft JhengHei" w:hAnsi="Microsoft JhengHei"/>
                <w:b/>
                <w:bCs/>
                <w:sz w:val="19"/>
                <w:szCs w:val="19"/>
              </w:rPr>
              <w:t xml:space="preserve">雙軌覆核</w:t>
            </w:r>
            <w:r>
              <w:rPr>
                <w:rFonts w:ascii="Microsoft JhengHei" w:cs="Microsoft JhengHei" w:eastAsia="Microsoft JhengHei" w:hAnsi="Microsoft JhengHei"/>
                <w:sz w:val="19"/>
                <w:szCs w:val="19"/>
              </w:rPr>
              <w:t xml:space="preserve">，確保資金流向與平台帳務一致</w:t>
            </w:r>
          </w:p>
        </w:tc>
      </w:tr>
      <w:tr>
        <w:tc>
          <w:tcPr>
            <w:tcW w:type="dxa" w:w="22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外幣資產評價</w:t>
            </w:r>
          </w:p>
        </w:tc>
        <w:tc>
          <w:tcPr>
            <w:tcW w:type="dxa" w:w="71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因出借標的為美元法幣，若公司記帳本位幣非美元，仍須依資產負債表日匯率進行外幣換算，惟</w:t>
            </w:r>
            <w:r>
              <w:rPr>
                <w:rFonts w:ascii="Microsoft JhengHei" w:cs="Microsoft JhengHei" w:eastAsia="Microsoft JhengHei" w:hAnsi="Microsoft JhengHei"/>
                <w:b/>
                <w:bCs/>
                <w:sz w:val="19"/>
                <w:szCs w:val="19"/>
              </w:rPr>
              <w:t xml:space="preserve">不涉及加密貨幣公允價值評價之複雜性</w:t>
            </w:r>
            <w:r>
              <w:rPr>
                <w:rFonts w:ascii="Microsoft JhengHei" w:cs="Microsoft JhengHei" w:eastAsia="Microsoft JhengHei" w:hAnsi="Microsoft JhengHei"/>
                <w:sz w:val="19"/>
                <w:szCs w:val="19"/>
              </w:rPr>
              <w:t xml:space="preserve">，會計處理相對單純</w:t>
            </w:r>
          </w:p>
        </w:tc>
      </w:tr>
      <w:tr>
        <w:tc>
          <w:tcPr>
            <w:tcW w:type="dxa" w:w="22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平台服務費認列</w:t>
            </w:r>
          </w:p>
        </w:tc>
        <w:tc>
          <w:tcPr>
            <w:tcW w:type="dxa" w:w="71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Bitfinex 收取之 15% 服務費於利息結算時直接於毛利息中扣除，應於財務報表附註中揭露毛利息、平台服務費與淨利息三項數據，確保透明度</w:t>
            </w:r>
          </w:p>
        </w:tc>
      </w:tr>
      <w:tr>
        <w:tc>
          <w:tcPr>
            <w:tcW w:type="dxa" w:w="22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外部審計配合</w:t>
            </w:r>
          </w:p>
        </w:tc>
        <w:tc>
          <w:tcPr>
            <w:tcW w:type="dxa" w:w="71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定期提供 API 呼叫紀錄、出入金明細、Bitfinex 帳戶對帳單予外部會計師事務所，作為虛擬資產服務商（VASP）內控稽核與財務簽證之佐證文件</w:t>
            </w:r>
          </w:p>
        </w:tc>
      </w:tr>
    </w:tbl>
    <w:p>
      <w:pPr>
        <w:spacing w:before="200"/>
      </w:pPr>
    </w:p>
    <w:p>
      <w:pPr>
        <w:pStyle w:val="Heading2"/>
        <w:spacing w:after="140" w:before="300"/>
      </w:pPr>
      <w:r>
        <w:rPr>
          <w:rFonts w:ascii="Microsoft JhengHei" w:cs="Microsoft JhengHei" w:eastAsia="Microsoft JhengHei" w:hAnsi="Microsoft JhengHei"/>
          <w:b/>
          <w:bCs/>
          <w:color w:val="1F3864"/>
          <w:sz w:val="25"/>
          <w:szCs w:val="25"/>
        </w:rPr>
        <w:t xml:space="preserve">7.2 三階段推進藍圖</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Phase 1：內控與 API 權限簽核</w:t>
            </w:r>
          </w:p>
        </w:tc>
        <w:tc>
          <w:tcPr>
            <w:tcW w:type="dxa" w:w="311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Phase 2：小額 PoC 沙盒運作（3 個月）</w:t>
            </w:r>
          </w:p>
        </w:tc>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Phase 3：常態化額度評估與自研腳本接管</w:t>
            </w:r>
          </w:p>
        </w:tc>
      </w:tr>
      <w:tr>
        <w:tc>
          <w:tcPr>
            <w:tcW w:type="dxa" w:w="3117"/>
            <w:tcBorders>
              <w:top w:val="single" w:color="9DB3C8" w:sz="4"/>
              <w:left w:val="single" w:color="9DB3C8" w:sz="4"/>
              <w:bottom w:val="single" w:color="9DB3C8" w:sz="4"/>
              <w:right w:val="single" w:color="9DB3C8" w:sz="4"/>
            </w:tcBorders>
            <w:tcMar>
              <w:top w:type="dxa" w:w="100"/>
              <w:left w:type="dxa" w:w="120"/>
              <w:bottom w:type="dxa" w:w="100"/>
              <w:right w:type="dxa" w:w="120"/>
            </w:tcMar>
          </w:tcPr>
          <w:p>
            <w:pPr>
              <w:pStyle w:val="ListParagraph"/>
              <w:numPr>
                <w:ilvl w:val="0"/>
                <w:numId w:val="3"/>
              </w:numPr>
              <w:spacing w:after="80" w:line="264"/>
            </w:pPr>
            <w:r>
              <w:rPr>
                <w:rFonts w:ascii="Microsoft JhengHei" w:cs="Microsoft JhengHei" w:eastAsia="Microsoft JhengHei" w:hAnsi="Microsoft JhengHei"/>
                <w:sz w:val="18"/>
                <w:szCs w:val="18"/>
              </w:rPr>
              <w:t xml:space="preserve">風控委員會審核本報告並核准試點額度上限</w:t>
            </w:r>
          </w:p>
          <w:p>
            <w:pPr>
              <w:pStyle w:val="ListParagraph"/>
              <w:numPr>
                <w:ilvl w:val="0"/>
                <w:numId w:val="3"/>
              </w:numPr>
              <w:spacing w:after="80" w:line="264"/>
            </w:pPr>
            <w:r>
              <w:rPr>
                <w:rFonts w:ascii="Microsoft JhengHei" w:cs="Microsoft JhengHei" w:eastAsia="Microsoft JhengHei" w:hAnsi="Microsoft JhengHei"/>
                <w:sz w:val="18"/>
                <w:szCs w:val="18"/>
              </w:rPr>
              <w:t xml:space="preserve">完成 API 金鑰最小權限設定（僅 Margin Funding 讀寫、封鎖提幣/轉帳權限）並經資安部門覆核</w:t>
            </w:r>
          </w:p>
          <w:p>
            <w:pPr>
              <w:pStyle w:val="ListParagraph"/>
              <w:numPr>
                <w:ilvl w:val="0"/>
                <w:numId w:val="3"/>
              </w:numPr>
              <w:spacing w:after="80" w:line="264"/>
            </w:pPr>
            <w:r>
              <w:rPr>
                <w:rFonts w:ascii="Microsoft JhengHei" w:cs="Microsoft JhengHei" w:eastAsia="Microsoft JhengHei" w:hAnsi="Microsoft JhengHei"/>
                <w:sz w:val="18"/>
                <w:szCs w:val="18"/>
              </w:rPr>
              <w:t xml:space="preserve">建立內部 VPC 存取白名單與金鑰分權保管 SOP</w:t>
            </w:r>
          </w:p>
          <w:p>
            <w:pPr>
              <w:pStyle w:val="ListParagraph"/>
              <w:numPr>
                <w:ilvl w:val="0"/>
                <w:numId w:val="3"/>
              </w:numPr>
              <w:spacing w:after="80" w:line="264"/>
            </w:pPr>
            <w:r>
              <w:rPr>
                <w:rFonts w:ascii="Microsoft JhengHei" w:cs="Microsoft JhengHei" w:eastAsia="Microsoft JhengHei" w:hAnsi="Microsoft JhengHei"/>
                <w:sz w:val="18"/>
                <w:szCs w:val="18"/>
              </w:rPr>
              <w:t xml:space="preserve">制定緊急撤資與異常事件通報 SOP</w:t>
            </w:r>
          </w:p>
        </w:tc>
        <w:tc>
          <w:tcPr>
            <w:tcW w:type="dxa" w:w="3117"/>
            <w:tcBorders>
              <w:top w:val="single" w:color="9DB3C8" w:sz="4"/>
              <w:left w:val="single" w:color="9DB3C8" w:sz="4"/>
              <w:bottom w:val="single" w:color="9DB3C8" w:sz="4"/>
              <w:right w:val="single" w:color="9DB3C8" w:sz="4"/>
            </w:tcBorders>
            <w:tcMar>
              <w:top w:type="dxa" w:w="100"/>
              <w:left w:type="dxa" w:w="120"/>
              <w:bottom w:type="dxa" w:w="100"/>
              <w:right w:type="dxa" w:w="120"/>
            </w:tcMar>
          </w:tcPr>
          <w:p>
            <w:pPr>
              <w:pStyle w:val="ListParagraph"/>
              <w:numPr>
                <w:ilvl w:val="0"/>
                <w:numId w:val="3"/>
              </w:numPr>
              <w:spacing w:after="80" w:line="264"/>
            </w:pPr>
            <w:r>
              <w:rPr>
                <w:rFonts w:ascii="Microsoft JhengHei" w:cs="Microsoft JhengHei" w:eastAsia="Microsoft JhengHei" w:hAnsi="Microsoft JhengHei"/>
                <w:sz w:val="18"/>
                <w:szCs w:val="18"/>
              </w:rPr>
              <w:t xml:space="preserve">依核准額度（建議不超過總資產 10%）投入 PoC 資金，實地驗證自動化演算法（動態天期階梯、分批出借）之實際效益</w:t>
            </w:r>
          </w:p>
          <w:p>
            <w:pPr>
              <w:pStyle w:val="ListParagraph"/>
              <w:numPr>
                <w:ilvl w:val="0"/>
                <w:numId w:val="3"/>
              </w:numPr>
              <w:spacing w:after="80" w:line="264"/>
            </w:pPr>
            <w:r>
              <w:rPr>
                <w:rFonts w:ascii="Microsoft JhengHei" w:cs="Microsoft JhengHei" w:eastAsia="Microsoft JhengHei" w:hAnsi="Microsoft JhengHei"/>
                <w:sz w:val="18"/>
                <w:szCs w:val="18"/>
              </w:rPr>
              <w:t xml:space="preserve">財務部每月覆核對帳結果、實際淨年化收益率與目標值（6.0%–8.0%）之落差</w:t>
            </w:r>
          </w:p>
          <w:p>
            <w:pPr>
              <w:pStyle w:val="ListParagraph"/>
              <w:numPr>
                <w:ilvl w:val="0"/>
                <w:numId w:val="3"/>
              </w:numPr>
              <w:spacing w:after="80" w:line="264"/>
            </w:pPr>
            <w:r>
              <w:rPr>
                <w:rFonts w:ascii="Microsoft JhengHei" w:cs="Microsoft JhengHei" w:eastAsia="Microsoft JhengHei" w:hAnsi="Microsoft JhengHei"/>
                <w:sz w:val="18"/>
                <w:szCs w:val="18"/>
              </w:rPr>
              <w:t xml:space="preserve">每月向風控委員會提交 PoC 執行報告，內容涵蓋收益、天期分佈、曝險集中度與任何異常事件</w:t>
            </w:r>
          </w:p>
        </w:tc>
        <w:tc>
          <w:tcPr>
            <w:tcW w:type="dxa" w:w="3116"/>
            <w:tcBorders>
              <w:top w:val="single" w:color="9DB3C8" w:sz="4"/>
              <w:left w:val="single" w:color="9DB3C8" w:sz="4"/>
              <w:bottom w:val="single" w:color="9DB3C8" w:sz="4"/>
              <w:right w:val="single" w:color="9DB3C8" w:sz="4"/>
            </w:tcBorders>
            <w:tcMar>
              <w:top w:type="dxa" w:w="100"/>
              <w:left w:type="dxa" w:w="120"/>
              <w:bottom w:type="dxa" w:w="100"/>
              <w:right w:type="dxa" w:w="120"/>
            </w:tcMar>
          </w:tcPr>
          <w:p>
            <w:pPr>
              <w:pStyle w:val="ListParagraph"/>
              <w:numPr>
                <w:ilvl w:val="0"/>
                <w:numId w:val="3"/>
              </w:numPr>
              <w:spacing w:after="80" w:line="264"/>
            </w:pPr>
            <w:r>
              <w:rPr>
                <w:rFonts w:ascii="Microsoft JhengHei" w:cs="Microsoft JhengHei" w:eastAsia="Microsoft JhengHei" w:hAnsi="Microsoft JhengHei"/>
                <w:sz w:val="18"/>
                <w:szCs w:val="18"/>
              </w:rPr>
              <w:t xml:space="preserve">依 PoC 實際淨年化收益、風控事件紀錄，評估是否擴大額度至常態化 10%–15% 上限</w:t>
            </w:r>
          </w:p>
          <w:p>
            <w:pPr>
              <w:pStyle w:val="ListParagraph"/>
              <w:numPr>
                <w:ilvl w:val="0"/>
                <w:numId w:val="3"/>
              </w:numPr>
              <w:spacing w:after="80" w:line="264"/>
            </w:pPr>
            <w:r>
              <w:rPr>
                <w:rFonts w:ascii="Microsoft JhengHei" w:cs="Microsoft JhengHei" w:eastAsia="Microsoft JhengHei" w:hAnsi="Microsoft JhengHei"/>
                <w:sz w:val="18"/>
                <w:szCs w:val="18"/>
              </w:rPr>
              <w:t xml:space="preserve">將短期 PoC 驗證用之外部/半自動化流程，遷移為</w:t>
            </w:r>
            <w:r>
              <w:rPr>
                <w:rFonts w:ascii="Microsoft JhengHei" w:cs="Microsoft JhengHei" w:eastAsia="Microsoft JhengHei" w:hAnsi="Microsoft JhengHei"/>
                <w:b/>
                <w:bCs/>
                <w:sz w:val="18"/>
                <w:szCs w:val="18"/>
              </w:rPr>
              <w:t xml:space="preserve">內部自研 API 微服務（In-house Trading Script）</w:t>
            </w:r>
            <w:r>
              <w:rPr>
                <w:rFonts w:ascii="Microsoft JhengHei" w:cs="Microsoft JhengHei" w:eastAsia="Microsoft JhengHei" w:hAnsi="Microsoft JhengHei"/>
                <w:sz w:val="18"/>
                <w:szCs w:val="18"/>
              </w:rPr>
              <w:t xml:space="preserve">，部署於內部 VPC，滿足 VASP 資安稽核與外部財務審計要求</w:t>
            </w:r>
          </w:p>
          <w:p>
            <w:pPr>
              <w:pStyle w:val="ListParagraph"/>
              <w:numPr>
                <w:ilvl w:val="0"/>
                <w:numId w:val="3"/>
              </w:numPr>
              <w:spacing w:after="80" w:line="264"/>
            </w:pPr>
            <w:r>
              <w:rPr>
                <w:rFonts w:ascii="Microsoft JhengHei" w:cs="Microsoft JhengHei" w:eastAsia="Microsoft JhengHei" w:hAnsi="Microsoft JhengHei"/>
                <w:sz w:val="18"/>
                <w:szCs w:val="18"/>
              </w:rPr>
              <w:t xml:space="preserve">建立常態化月度／季度風險報告機制，納入公司整體流動性風險管理框架（ALM）</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550"/>
      </w:tblGrid>
      <w:tr>
        <w:trPr>
          <w:tblHeader/>
        </w:trPr>
        <w:tc>
          <w:tcPr>
            <w:tcW w:type="dxa" w:w="13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階段</w:t>
            </w:r>
          </w:p>
        </w:tc>
        <w:tc>
          <w:tcPr>
            <w:tcW w:type="dxa" w:w="25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預計時程</w:t>
            </w:r>
          </w:p>
        </w:tc>
        <w:tc>
          <w:tcPr>
            <w:tcW w:type="dxa" w:w="55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主要產出 / 驗收標準</w:t>
            </w:r>
          </w:p>
        </w:tc>
      </w:tr>
      <w:tr>
        <w:tc>
          <w:tcPr>
            <w:tcW w:type="dxa" w:w="13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Phase 1</w:t>
            </w:r>
          </w:p>
        </w:tc>
        <w:tc>
          <w:tcPr>
            <w:tcW w:type="dxa" w:w="25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核准後 2–4 週</w:t>
            </w:r>
          </w:p>
        </w:tc>
        <w:tc>
          <w:tcPr>
            <w:tcW w:type="dxa" w:w="55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API 權限設定完成並經資安部門簽核；內控 SOP 文件化並經風控委員會備查</w:t>
            </w:r>
          </w:p>
        </w:tc>
      </w:tr>
      <w:tr>
        <w:tc>
          <w:tcPr>
            <w:tcW w:type="dxa" w:w="13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Phase 2</w:t>
            </w:r>
          </w:p>
        </w:tc>
        <w:tc>
          <w:tcPr>
            <w:tcW w:type="dxa" w:w="25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3 個月</w:t>
            </w:r>
          </w:p>
        </w:tc>
        <w:tc>
          <w:tcPr>
            <w:tcW w:type="dxa" w:w="55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累積至少 3 個月完整月度對帳報告；實際淨年化收益率、風險事件發生次數、天期階梯執行合規性</w:t>
            </w:r>
          </w:p>
        </w:tc>
      </w:tr>
      <w:tr>
        <w:tc>
          <w:tcPr>
            <w:tcW w:type="dxa" w:w="13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Phase 3</w:t>
            </w:r>
          </w:p>
        </w:tc>
        <w:tc>
          <w:tcPr>
            <w:tcW w:type="dxa" w:w="25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center"/>
            </w:pPr>
            <w:r>
              <w:rPr>
                <w:rFonts w:ascii="Microsoft JhengHei" w:cs="Microsoft JhengHei" w:eastAsia="Microsoft JhengHei" w:hAnsi="Microsoft JhengHei"/>
                <w:sz w:val="19"/>
                <w:szCs w:val="19"/>
              </w:rPr>
              <w:t xml:space="preserve">PoC 結束後 1 個月內啟動評估</w:t>
            </w:r>
          </w:p>
        </w:tc>
        <w:tc>
          <w:tcPr>
            <w:tcW w:type="dxa" w:w="55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依 Phase 2 實際數據提交常態化額度申請與自研腳本開發計畫書</w:t>
            </w:r>
          </w:p>
        </w:tc>
      </w:tr>
    </w:tbl>
    <w:p>
      <w:pPr>
        <w:spacing w:before="200"/>
      </w:pPr>
    </w:p>
    <w:p>
      <w:pPr>
        <w:pStyle w:val="Heading2"/>
        <w:spacing w:after="140" w:before="300"/>
      </w:pPr>
      <w:r>
        <w:rPr>
          <w:rFonts w:ascii="Microsoft JhengHei" w:cs="Microsoft JhengHei" w:eastAsia="Microsoft JhengHei" w:hAnsi="Microsoft JhengHei"/>
          <w:b/>
          <w:bCs/>
          <w:color w:val="1F3864"/>
          <w:sz w:val="25"/>
          <w:szCs w:val="25"/>
        </w:rPr>
        <w:t xml:space="preserve">7.3 治理與覆核機制</w:t>
      </w:r>
    </w:p>
    <w:p>
      <w:pPr>
        <w:pStyle w:val="ListParagraph"/>
        <w:numPr>
          <w:ilvl w:val="0"/>
          <w:numId w:val="3"/>
        </w:numPr>
        <w:spacing w:after="100" w:line="300"/>
      </w:pPr>
      <w:r>
        <w:rPr>
          <w:rFonts w:ascii="Microsoft JhengHei" w:cs="Microsoft JhengHei" w:eastAsia="Microsoft JhengHei" w:hAnsi="Microsoft JhengHei"/>
          <w:b/>
          <w:bCs/>
          <w:sz w:val="21"/>
          <w:szCs w:val="21"/>
        </w:rPr>
        <w:t xml:space="preserve">月度覆核：</w:t>
      </w:r>
      <w:r>
        <w:rPr>
          <w:rFonts w:ascii="Microsoft JhengHei" w:cs="Microsoft JhengHei" w:eastAsia="Microsoft JhengHei" w:hAnsi="Microsoft JhengHei"/>
          <w:sz w:val="21"/>
          <w:szCs w:val="21"/>
        </w:rPr>
        <w:t xml:space="preserve"> 財務部與資產管理部聯合覆核當月出入金、利息收入與曝險集中度。</w:t>
      </w:r>
    </w:p>
    <w:p>
      <w:pPr>
        <w:pStyle w:val="ListParagraph"/>
        <w:numPr>
          <w:ilvl w:val="0"/>
          <w:numId w:val="3"/>
        </w:numPr>
        <w:spacing w:after="100" w:line="300"/>
      </w:pPr>
      <w:r>
        <w:rPr>
          <w:rFonts w:ascii="Microsoft JhengHei" w:cs="Microsoft JhengHei" w:eastAsia="Microsoft JhengHei" w:hAnsi="Microsoft JhengHei"/>
          <w:b/>
          <w:bCs/>
          <w:sz w:val="21"/>
          <w:szCs w:val="21"/>
        </w:rPr>
        <w:t xml:space="preserve">季度風控報告：</w:t>
      </w:r>
      <w:r>
        <w:rPr>
          <w:rFonts w:ascii="Microsoft JhengHei" w:cs="Microsoft JhengHei" w:eastAsia="Microsoft JhengHei" w:hAnsi="Microsoft JhengHei"/>
          <w:sz w:val="21"/>
          <w:szCs w:val="21"/>
        </w:rPr>
        <w:t xml:space="preserve"> 提交風控委員會，內容涵蓋單一平台曝險比率、天期分佈、實際淨年化收益率與目標值落差分析。</w:t>
      </w:r>
    </w:p>
    <w:p>
      <w:pPr>
        <w:pStyle w:val="ListParagraph"/>
        <w:numPr>
          <w:ilvl w:val="0"/>
          <w:numId w:val="3"/>
        </w:numPr>
        <w:spacing w:after="100" w:line="300"/>
      </w:pPr>
      <w:r>
        <w:rPr>
          <w:rFonts w:ascii="Microsoft JhengHei" w:cs="Microsoft JhengHei" w:eastAsia="Microsoft JhengHei" w:hAnsi="Microsoft JhengHei"/>
          <w:b/>
          <w:bCs/>
          <w:sz w:val="21"/>
          <w:szCs w:val="21"/>
        </w:rPr>
        <w:t xml:space="preserve">異常事件即時通報：</w:t>
      </w:r>
      <w:r>
        <w:rPr>
          <w:rFonts w:ascii="Microsoft JhengHei" w:cs="Microsoft JhengHei" w:eastAsia="Microsoft JhengHei" w:hAnsi="Microsoft JhengHei"/>
          <w:sz w:val="21"/>
          <w:szCs w:val="21"/>
        </w:rPr>
        <w:t xml:space="preserve"> 若發生平台異常出金延遲、API 異常呼叫、或市場出現重大信用事件（如同業穿倉事件），須於 24 小時內向風控主管與財務長通報，並視情況啟動緊急撤資程序。</w:t>
      </w:r>
    </w:p>
    <w:p>
      <w:pPr>
        <w:pStyle w:val="Heading1"/>
        <w:pBdr>
          <w:bottom w:val="single" w:color="1F3864" w:sz="6"/>
        </w:pBdr>
        <w:spacing w:after="200" w:before="400"/>
      </w:pPr>
      <w:r>
        <w:rPr>
          <w:rFonts w:ascii="Microsoft JhengHei" w:cs="Microsoft JhengHei" w:eastAsia="Microsoft JhengHei" w:hAnsi="Microsoft JhengHei"/>
          <w:b/>
          <w:bCs/>
          <w:color w:val="1F3864"/>
          <w:sz w:val="30"/>
          <w:szCs w:val="30"/>
        </w:rPr>
        <w:t xml:space="preserve">附錄：關鍵財務假設彙總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rPr>
          <w:tblHeader/>
        </w:trPr>
        <w:tc>
          <w:tcPr>
            <w:tcW w:type="dxa" w:w="470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假設項目</w:t>
            </w:r>
          </w:p>
        </w:tc>
        <w:tc>
          <w:tcPr>
            <w:tcW w:type="dxa" w:w="465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20"/>
                <w:szCs w:val="20"/>
              </w:rPr>
              <w:t xml:space="preserve">數值</w:t>
            </w:r>
          </w:p>
        </w:tc>
      </w:tr>
      <w:tr>
        <w:tc>
          <w:tcPr>
            <w:tcW w:type="dxa" w:w="47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試算本金</w:t>
            </w:r>
          </w:p>
        </w:tc>
        <w:tc>
          <w:tcPr>
            <w:tcW w:type="dxa" w:w="46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USD 1,000,000</w:t>
            </w:r>
          </w:p>
        </w:tc>
      </w:tr>
      <w:tr>
        <w:tc>
          <w:tcPr>
            <w:tcW w:type="dxa" w:w="47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平台服務費率</w:t>
            </w:r>
          </w:p>
        </w:tc>
        <w:tc>
          <w:tcPr>
            <w:tcW w:type="dxa" w:w="46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15%（已於各情境淨年化收益率中扣除）</w:t>
            </w:r>
          </w:p>
        </w:tc>
      </w:tr>
      <w:tr>
        <w:tc>
          <w:tcPr>
            <w:tcW w:type="dxa" w:w="47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無風險利率基準（SOFR / 3M T-Bill）</w:t>
            </w:r>
          </w:p>
        </w:tc>
        <w:tc>
          <w:tcPr>
            <w:tcW w:type="dxa" w:w="46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4.5%</w:t>
            </w:r>
          </w:p>
        </w:tc>
      </w:tr>
      <w:tr>
        <w:tc>
          <w:tcPr>
            <w:tcW w:type="dxa" w:w="47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目標流動性風險溢價</w:t>
            </w:r>
          </w:p>
        </w:tc>
        <w:tc>
          <w:tcPr>
            <w:tcW w:type="dxa" w:w="46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150–200 bps</w:t>
            </w:r>
          </w:p>
        </w:tc>
      </w:tr>
      <w:tr>
        <w:tc>
          <w:tcPr>
            <w:tcW w:type="dxa" w:w="47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保守 / 基準 / 樂觀情境淨年化收益率</w:t>
            </w:r>
          </w:p>
        </w:tc>
        <w:tc>
          <w:tcPr>
            <w:tcW w:type="dxa" w:w="46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5.0% / 6.5% / 12.0%+</w:t>
            </w:r>
          </w:p>
        </w:tc>
      </w:tr>
      <w:tr>
        <w:tc>
          <w:tcPr>
            <w:tcW w:type="dxa" w:w="47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單一平台曝險上限</w:t>
            </w:r>
          </w:p>
        </w:tc>
        <w:tc>
          <w:tcPr>
            <w:tcW w:type="dxa" w:w="46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資產管理部可運用美元總資產之 10%–15%</w:t>
            </w:r>
          </w:p>
        </w:tc>
      </w:tr>
      <w:tr>
        <w:tc>
          <w:tcPr>
            <w:tcW w:type="dxa" w:w="47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常態市場授權天期（APR &lt; 15%）</w:t>
            </w:r>
          </w:p>
        </w:tc>
        <w:tc>
          <w:tcPr>
            <w:tcW w:type="dxa" w:w="46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2–7 天</w:t>
            </w:r>
          </w:p>
        </w:tc>
      </w:tr>
      <w:tr>
        <w:tc>
          <w:tcPr>
            <w:tcW w:type="dxa" w:w="47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高息溢價授權天期（APR ≥ 15%）</w:t>
            </w:r>
          </w:p>
        </w:tc>
        <w:tc>
          <w:tcPr>
            <w:tcW w:type="dxa" w:w="46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15–30 天</w:t>
            </w:r>
          </w:p>
        </w:tc>
      </w:tr>
      <w:tr>
        <w:tc>
          <w:tcPr>
            <w:tcW w:type="dxa" w:w="470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極端行情授權天期（APR ≥ 30%，需專案授權）</w:t>
            </w:r>
          </w:p>
        </w:tc>
        <w:tc>
          <w:tcPr>
            <w:tcW w:type="dxa" w:w="465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76"/>
              <w:jc w:val="left"/>
            </w:pPr>
            <w:r>
              <w:rPr>
                <w:rFonts w:ascii="Microsoft JhengHei" w:cs="Microsoft JhengHei" w:eastAsia="Microsoft JhengHei" w:hAnsi="Microsoft JhengHei"/>
                <w:sz w:val="19"/>
                <w:szCs w:val="19"/>
              </w:rPr>
              <w:t xml:space="preserve">最長 60–120 天</w:t>
            </w:r>
          </w:p>
        </w:tc>
      </w:tr>
    </w:tbl>
    <w:p>
      <w:pPr>
        <w:pBdr>
          <w:top w:val="single" w:color="9DB3C8" w:sz="6"/>
        </w:pBdr>
        <w:spacing w:before="400"/>
      </w:pPr>
    </w:p>
    <w:p>
      <w:pPr>
        <w:spacing w:before="120"/>
      </w:pPr>
      <w:r>
        <w:rPr>
          <w:rFonts w:ascii="Microsoft JhengHei" w:cs="Microsoft JhengHei" w:eastAsia="Microsoft JhengHei" w:hAnsi="Microsoft JhengHei"/>
          <w:i/>
          <w:iCs/>
          <w:color w:val="595959"/>
          <w:sz w:val="18"/>
          <w:szCs w:val="18"/>
        </w:rPr>
        <w:t xml:space="preserve">本報告由 TSGEX 資產管理部撰擬，僅供公司內部財務部、風控委員會與高階管理層審查之用，不對外流通。文件所載之歷史利率區間與情境試算數據為基於公開市場觀察之估算值，不構成收益保證，實際執行結果仍受市場條件變動影響。</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8497B0"/>
        <w:sz w:val="16"/>
        <w:szCs w:val="16"/>
      </w:rPr>
      <w:t xml:space="preserve">第 </w:t>
    </w:r>
    <w:r>
      <w:rPr>
        <w:rFonts w:ascii="Microsoft JhengHei" w:cs="Microsoft JhengHei" w:eastAsia="Microsoft JhengHei" w:hAnsi="Microsoft JhengHei"/>
        <w:color w:val="8497B0"/>
        <w:sz w:val="16"/>
        <w:szCs w:val="16"/>
      </w:rPr>
      <w:fldChar w:fldCharType="begin"/>
      <w:instrText xml:space="preserve">PAGE</w:instrText>
      <w:fldChar w:fldCharType="separate"/>
      <w:fldChar w:fldCharType="end"/>
    </w:r>
    <w:r>
      <w:rPr>
        <w:rFonts w:ascii="Microsoft JhengHei" w:cs="Microsoft JhengHei" w:eastAsia="Microsoft JhengHei" w:hAnsi="Microsoft JhengHei"/>
        <w:color w:val="8497B0"/>
        <w:sz w:val="16"/>
        <w:szCs w:val="16"/>
      </w:rPr>
      <w:t xml:space="preserve"> 頁，共 </w:t>
    </w:r>
    <w:r>
      <w:rPr>
        <w:rFonts w:ascii="Microsoft JhengHei" w:cs="Microsoft JhengHei" w:eastAsia="Microsoft JhengHei" w:hAnsi="Microsoft JhengHei"/>
        <w:color w:val="8497B0"/>
        <w:sz w:val="16"/>
        <w:szCs w:val="16"/>
      </w:rPr>
      <w:fldChar w:fldCharType="begin"/>
      <w:instrText xml:space="preserve">NUMPAGES</w:instrText>
      <w:fldChar w:fldCharType="separate"/>
      <w:fldChar w:fldCharType="end"/>
    </w:r>
    <w:r>
      <w:rPr>
        <w:rFonts w:ascii="Microsoft JhengHei" w:cs="Microsoft JhengHei" w:eastAsia="Microsoft JhengHei" w:hAnsi="Microsoft JhengHei"/>
        <w:color w:val="8497B0"/>
        <w:sz w:val="16"/>
        <w:szCs w:val="16"/>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JhengHei" w:cs="Microsoft JhengHei" w:eastAsia="Microsoft JhengHei" w:hAnsi="Microsoft JhengHei"/>
        <w:color w:val="8497B0"/>
        <w:sz w:val="16"/>
        <w:szCs w:val="16"/>
      </w:rPr>
      <w:t xml:space="preserve">TSGEX 資產管理部｜內部機密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2026-09-04T07:01:36.006Z</dcterms:created>
  <dcterms:modified xsi:type="dcterms:W3CDTF">2026-09-04T07:01:36.017Z</dcterms:modified>
</cp:coreProperties>
</file>

<file path=docProps/custom.xml><?xml version="1.0" encoding="utf-8"?>
<Properties xmlns="http://schemas.openxmlformats.org/officeDocument/2006/custom-properties" xmlns:vt="http://schemas.openxmlformats.org/officeDocument/2006/docPropsVTypes"/>
</file>