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TSGEX 資產管理部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4"/>
          <w:szCs w:val="34"/>
        </w:rPr>
        <w:t xml:space="preserve">自有流動資金收益優化可行性評估報告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4546A"/>
          <w:sz w:val="26"/>
          <w:szCs w:val="26"/>
        </w:rPr>
        <w:t xml:space="preserve">三大主流類固收／結構型工具橫向對比與財務風險穿透分析</w:t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5"/>
          <w:szCs w:val="25"/>
        </w:rPr>
        <w:t xml:space="preserve">1. 文件資訊與簽核矩陣（Document Control &amp; Sign-off）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文件名稱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TSGEX 自有流動資金收益優化可行性評估報告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TSGEX-AM-2026-0904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機密等級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內部機密（Internal Confidential）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— 僅供內部審查，不對外流通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提案單位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TSGEX 資產管理部（Asset Management Department）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文件版本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V1.0（第一階段：Word 深度分析研究報告）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報告日期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2026-09-04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資金屬性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100% 公司自有流動資金（Proprietary Equity Capital），落實獨立專戶隔離，不涉及任何用戶託管資產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會簽矩陣（Sign-off Matrix）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會簽單位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審查重點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簽核角色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簽核狀態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財務部（Treasury &amp; Finance Department）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收益認列、帳務處理、資金調度、無風險利率基準校準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主責審查（Primary Reviewer）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待簽核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風險管理委員會（Risk Committee）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交易對手風險、市場風險、流動性風險、單一平台曝險上限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風控核決（Risk Sign-off）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待簽核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法令遵循室（Compliance / 法遵室）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VASP 監管適用性、跨境資金移動合規性、衍生性商品法遵疑慮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法遵核決（Compliance Sign-off）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待簽核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高階管理層 / 投資委員會（IC）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策略定位、資本配置額度、最終核准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最終核准（Final Approval）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待簽核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5"/>
          <w:szCs w:val="25"/>
        </w:rPr>
        <w:t xml:space="preserve">2. 執行摘要（Executive Summary）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2.1 提案背景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TSGEX 資產管理部長期持有相當規模之公司自有美元／穩定幣流動資金，用以支應日常營運調度與策略性資本配置。在銀行體系美元活存利率有限、且加密貨幣市場提供多元「類固收」與「結構型」收益工具的環境下，本部門就市場上三類主流收益增強工具進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橫向對比與財務風險穿透分析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，以協助財務部與風控委員會就資金配置方案做出審慎決策。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2.2 策略定位：三類產品之收益光譜定位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本報告評估之三項標的，雖經常被市場行銷語言統稱為「加密貨幣理財」，惟其底層金融工程本質差異極大，財務部審查時應嚴格區分：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光譜位置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產品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收益本質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本金保障屬性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① 純固定收益（Fixed-Income-Like）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Bitfinex USD Margin Funding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出借利息（Interest Income），P2P 超額抵押借貸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本金不因市場方向而變動，僅承擔交易對手信用風險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② 資金池活期收益（Pooled Deposit-Like）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Binance / OKX USDT 活期理財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資金池借貸利差，類活存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名目上本金穩定，惟隱含交易所表內信用曝險與利率稀釋問題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③ 賣方結構型衍生品（Short-Option-Like）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Binance / OKX 雙幣理財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賣出選擇權之權利金（Option Premium）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，非利息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非保本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，本金可能被迫轉換為貶值資產，屬方向性賭注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核心結論先行揭露：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僅有第①類（Bitfinex USD Margin Funding）在風險屬性上符合公司自有流動資金「本金優先、收益其次」之管理原則，可作為主力配置；第②類僅適用於極小額、極短天期之營運調度緩衝；第③類因涉及非對稱下行風險與嵌入式衍生工具會計複雜度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建議不予准入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2.3 核心財務目標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數值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財務基準指標（Hurdle Rate）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SOFR / 3M T-Bill ≈ 4.5% + 150–200 bps 流動性溢價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目標淨年化收益率（Net APY）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6.0% – 8.0%+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（僅適用於主力配置標的）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百萬美元規模資金效率門檻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任一標的之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百萬美元實際有效年化（Effective APY）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須顯著高於財務基準，方具配置價值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2.4 結論摘要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Bitfinex USD Margin Funding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：於百萬美元規模下仍可維持 5.0%–12.0%+ 之淨年化收益，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收益本質清晰、風險可控、會計入帳最單純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，建議作為主力配置標的。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Binance / OKX USDT 活期理財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：受「階梯利率陷阱」影響，百萬美元規模之實際有效年化僅約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1.5%–3.5%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，遠低於行銷頁面所示之 10%+ 頭牌利率，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資金效率低落，僅適合作為極小額 T+0 應急調度池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雙幣理財（Dual Investment）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：本質為出售選擇權賺取權利金，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存在本金非對稱下行虧損風險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，且會計上須認列為嵌入式衍生工具（Embedded Derivatives, FVTPL），評價與稽核複雜度高，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與公司自有流動資金「資本保全優先」之管理原則相悖，建議明確排除於配置範圍之外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2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5"/>
          <w:szCs w:val="25"/>
        </w:rPr>
        <w:t xml:space="preserve">3. 標的產品架構與運作機制深度剖析（Product Deep Dive）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3.1 Bitfinex USD Margin Funding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成立歷史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2012 年成立，為全球現存歷史最悠久、美元 P2P 保證金融資出借市場深度最深之平台，歷經多次極端行情壓力測試（2020 年 3 月閃崩、2022 年 LUNA/FTX 信用事件）未發生出借人系統性損失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撮合機制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公開訂單簿（Order Book）P2P 直接撮合，出借人掛出「金額、利率、天期」，依價格與時間優先原則自動成交，資訊透明度高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超額抵押率（Over-collateralization）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借款人須先存入超額擔保品方可動用融資額度：原始保證金率約為部位名目價值之 15%–33%（最高槓桿 3–6.6 倍），維持保證金率通常約 15% 上下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清算引擎（Liquidation Engine）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當保證金比率跌破維持保證金率時，系統自動觸發強制減倉／平倉，優先以借款人擔保品（而非出借人本金）償付未平倉融資本息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出借人優先受償權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融資出借人對借款人擔保品之求償順位優先於借款人自身權益，只要強平引擎於保證金比率歸零前完成減倉，出借人本金即不受影響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為何選擇 USD 法幣而非代幣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(1) 零幣價波動（Delta-Neutral），本金無方向性曝險；(2) 會計入帳可直接列示為短期金融資產／應收利息，符合 GAAP/IFRS 現金及約當現金認列規範；(3) 完全規避穩定幣發行商儲備金與脫錨風險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3.2 Binance / OKX USDT 活期理財（Simple Earn / 餘幣寶）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運作機制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用戶存入 USDT 至交易所之「資金池」，交易所將資金池統一運用於：(a) 借予保證金交易者、合約交易對手方；(b) 內部做市與流動性調度；(c) 部分轉投其他機構借貸管道賺取利差，交易所再依「階梯利率」支付用戶利息，賺取中間利差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表內資產負債表調度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用戶存入之 USDT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並非隔離於用戶專屬帳戶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，而是併入交易所整體資金池，於交易所財務報表上構成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表內負債（用戶應付款項）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，交易所對其自由調度運用，用戶本質上承擔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對交易所整體之無擔保信用曝險（Unsecured Exposure）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，而非對特定借款人之有擔保債權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儲備金證明（Proof of Reserves, PoR）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主流交易所定期發布資產儲備證明，惟其查核範圍、頻率與獨立性參差不齊，多數 PoR 僅涵蓋特定時點之資產快照，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不等同於持續性、審計等級之資產負債表查核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，無法完全消弭資金挪用或表外負債風險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保護基金機制（SAFU / Protection Fund）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部分交易所設有保護基金（如 Binance SAFU）用以吸收極端事件損失，惟基金規模相對其總資產管理規模（AUM）占比有限，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不足以覆蓋交易所倒閉等系統性尾部風險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階梯利率結構（Tiered APR）之本質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交易所行銷頁面所展示之「10%+ 高年化」，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僅適用於前 500–1,000 USDT 之極小額度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，超過門檻後利率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斷崖式下降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至 1.5%–3.5% 浮動基礎利率區間，此設計本質上是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獲客行銷成本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（Customer Acquisition Cost），而非可規模化之機構收益方案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3.3 Binance / OKX 雙幣理財（Dual Investment / 雙幣贏）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金融工程本質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雙幣理財之底層結構為投資人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出售一組選擇權（Short Option）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予平台：「低買（Buy Low）」結構本質為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賣出看跌期權（Short Put）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；「高賣（Sell High）」結構本質為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賣出看漲期權（Short Call）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。投資人收取之「高年化利率」實質為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選擇權權利金（Option Premium）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的年化換算，而非利息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行權價與行權日規則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投資人於申購時選擇「行使價格（Strike Price）」與「交割日（Settlement Date）」；到期時平台依當時市場價格與行使價之相對關係，決定是否對投資人「行權」：&lt;br&gt;• 若市場價格未觸及行使價（價外到期）：投資人取回原幣本金 + 權利金&lt;br&gt;• 若市場價格觸及或穿越行使價（價內到期）：投資人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本金將被強制依行使價轉換為另一種計價資產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（即便該資產當時市價已低於行使價），本金因此產生實質減損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高年化之定價拆解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例：某雙幣理財產品標示「年化 45%」，天期 7 天，其權利金收入換算為單期收益率僅約 0.86%（45% × 7/365）。此收益率之所以能達到 45% 年化水準，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恰恰反映市場隱含波動率（Implied Volatility）極高，亦即該資產於此期間發生劇烈價格波動、導致投資人被迫「接刀」之機率不容忽視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——高年化與高尾部風險為同一枚硬幣的兩面，並非「免費午餐」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非對稱下行風險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上檔收益被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權利金封頂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（無論標的漲多少，投資人最多只拿到本金+固定權利金），下檔虧損卻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理論上無下限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（標的可跌至趨近於零），此為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嚴重非對稱之風險報酬結構（Negatively Skewed Payoff）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，與傳統「風險越高、上檔期望報酬亦應等比例提高」之風控直覺相悖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5"/>
          <w:szCs w:val="25"/>
        </w:rPr>
        <w:t xml:space="preserve">4. 百萬美元機構規模之真實收益穿透試算（Capacity &amp; Realized APY）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4.1 試算前提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-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試算本金：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USD／USDT 1,000,000（公司自有資金規模）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-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目的：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揭露行銷頁面「頭牌利率」與機構大額資金「實際有效年化（Effective APY）」之落差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4.2 Bitfinex USD Margin Funding：三情境試算（扣除平台 15% 服務費後）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淨年化收益率（Net APY）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年度預期淨利（USD）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月度預期淨利（USD）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相較 SOFR（4.5%）超額利差</w:t>
            </w:r>
          </w:p>
        </w:tc>
      </w:tr>
      <w:tr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保守情境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（市場冰河期）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5.0%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$50,000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$4,166.7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+50 bps</w:t>
            </w:r>
          </w:p>
        </w:tc>
      </w:tr>
      <w:tr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基準情境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（提案目標）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6.5%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$65,000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$5,416.7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+200 bps</w:t>
            </w:r>
          </w:p>
        </w:tc>
      </w:tr>
      <w:tr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樂觀情境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（市場活躍期）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12.0%+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$120,000+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$10,000.0+</w:t>
            </w:r>
          </w:p>
        </w:tc>
        <w:tc>
          <w:tcPr>
            <w:tcW w:type="dxa" w:w="1870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+750 bps</w:t>
            </w:r>
          </w:p>
        </w:tc>
      </w:tr>
    </w:tbl>
    <w:p>
      <w:pPr>
        <w:spacing w:after="160"/>
      </w:pP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關鍵特徵：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 百萬美元規模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不稀釋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單位收益率——出借利率為市場撮合價格，與出借金額大小無關，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具備完整之資金規模可擴展性（Scalability）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4.3 Binance / OKX USDT 活期理財：階梯利率稀釋效應實測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以下以兩組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示意性利率階梯結構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（依市場常見模式建構，非特定平台即時公告，僅供試算方法論示範）進行 100 萬 USDT 規模之加權平均有效年化計算：</w:t>
      </w: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44546A"/>
          <w:sz w:val="21"/>
          <w:szCs w:val="21"/>
        </w:rPr>
        <w:t xml:space="preserve">情境 A（保守階梯結構）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級距（USDT）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級距內金額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掛牌年化利率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該級距利息貢獻（USD）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0 – 500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8.00%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$40.00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500 – 5,000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4,500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3.50%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$157.50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5,000 – 1,000,000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995,000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1.50%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$14,925.00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1,000,000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$15,122.50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加權平均 Effective APY = $15,122.50 ÷ $1,000,000 = 1.51%</w:t>
      </w: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44546A"/>
          <w:sz w:val="21"/>
          <w:szCs w:val="21"/>
        </w:rPr>
        <w:t xml:space="preserve">情境 B（較優階梯結構）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級距（USDT）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級距內金額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掛牌年化利率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該級距利息貢獻（USD）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0 – 1,000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10.00%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$100.00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1,000 – 10,000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9,000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4.00%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$360.00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10,000 – 1,000,000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990,000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3.50%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$34,650.00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1,000,000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$35,110.00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加權平均 Effective APY = $35,110.00 ÷ $1,000,000 = 3.51%</w:t>
      </w: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44546A"/>
          <w:sz w:val="21"/>
          <w:szCs w:val="21"/>
        </w:rPr>
        <w:t xml:space="preserve">資本拖累（Capital Drag）量化對比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比較基準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若整筆 100 萬美元均享有「頭牌利率」（假設 10%）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實際情境 A（1.51%）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實際情境 B（3.51%）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年度應得利息（若無稀釋）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$100,000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年度實際利息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$15,122.5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$35,110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資本拖累損失（Capital Drag, USD/年）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$84,877.5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$64,890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財務部審查重點：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行銷頁面之高年化僅具「獲客展示」意義，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對百萬美元等級之機構資金而言不具實質參考價值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，其真實資金效率（1.5%–3.5%）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顯著低於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財務基準指標（SOFR + 溢價 ≈ 6.0%+），若大額配置於此類產品，將構成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顯著之機會成本損失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4.4 雙幣理財：隱含期望值（EV）與下行接盤虧損情境試算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產品設定（示意性）：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BTC/USDT 現貨價 $60,000；「低買」結構，行使價（Strike）$57,000（價外 5%）；天期 7 天；平台標示年化 45%。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權利金收入：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$1,000,000 × 45% × (7/365) ≈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$8,630.14</w:t>
      </w: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44546A"/>
          <w:sz w:val="21"/>
          <w:szCs w:val="21"/>
        </w:rPr>
        <w:t xml:space="preserve">情境 1：價外到期（未觸及行使價）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金額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期末本金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$1,000,000 USDT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權利金收入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$8,630.14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期末總值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$1,008,630.14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（單週報酬率 ≈ 0.86%，年化約 45%）</w:t>
            </w:r>
          </w:p>
        </w:tc>
      </w:tr>
    </w:tbl>
    <w:p>
      <w:pPr>
        <w:spacing w:after="160"/>
      </w:pP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44546A"/>
          <w:sz w:val="21"/>
          <w:szCs w:val="21"/>
        </w:rPr>
        <w:t xml:space="preserve">情境 2：價內到期，市場單週閃崩 25%（BTC 跌破行使價至 $45,000）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8"/>
      </w:tblGrid>
      <w:tr>
        <w:trPr>
          <w:tblHeader/>
        </w:trP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計算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金額</w:t>
            </w:r>
          </w:p>
        </w:tc>
      </w:tr>
      <w:t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強制轉換取得 BTC 數量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$1,000,000 ÷ $57,000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17.5439 BTC</w:t>
            </w:r>
          </w:p>
        </w:tc>
      </w:tr>
      <w:t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轉換後 BTC 市值（以結算價計）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17.5439 × $45,000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$789,474.60</w:t>
            </w:r>
          </w:p>
        </w:tc>
      </w:tr>
      <w:t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加計已收權利金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 $8,630.14</w:t>
            </w:r>
          </w:p>
        </w:tc>
      </w:tr>
      <w:t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期末總值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$798,104.74</w:t>
            </w:r>
          </w:p>
        </w:tc>
      </w:tr>
      <w:t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本金損失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$1,000,000 − $798,104.74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-$201,895.26（單週 -20.19%）</w:t>
            </w:r>
          </w:p>
        </w:tc>
      </w:tr>
    </w:tbl>
    <w:p>
      <w:pPr>
        <w:spacing w:after="160"/>
      </w:pPr>
    </w:p>
    <w:p>
      <w:pPr>
        <w:pStyle w:val="Heading4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44546A"/>
          <w:sz w:val="21"/>
          <w:szCs w:val="21"/>
        </w:rPr>
        <w:t xml:space="preserve">隱含期望值（EV）示意性情境權重試算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以下機率權重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純屬示意性情境分析，用以呈現風險報酬形狀之非對稱性，並非機率預測或市場觀點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假設機率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單週報酬率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機率加權貢獻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價外到期（僅收權利金）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82%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+0.86%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+0.71%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淺度價內（小幅穿價）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13%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-5.00%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-0.65%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深度價內（黑天鵝閃崩）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5%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-20.00%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-1.00%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示意性單週 EV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100%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≈ -0.94%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結論：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即便標示年化高達 45%，一旦納入下行尾部情境之機率加權，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示意性期望值即轉為負值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，凸顯此類產品「小額穩定權利金 vs. 尾部巨額本金虧損」之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負偏態（Negative Skew）風險結構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，與公司自有流動資金追求「正期望值、有限下檔」之管理目標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根本性不相容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2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5"/>
          <w:szCs w:val="25"/>
        </w:rPr>
        <w:t xml:space="preserve">5. 財務部專題：資產分類、會計處理與外部審計（Accounting &amp; Audit Implications）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5.1 會計科目認列對比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比較維度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Bitfinex USD 放貸（美元法幣）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Binance/OKX USDT 活期理財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雙幣理財（Dual Investment）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建議會計科目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現金及約當現金 / 短期金融資產（定期存款性質）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虛擬資產（Digital Asset）存貨或無形資產，部分準則下列為金融資產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嵌入式衍生工具（Embedded Derivative），應以公允價值列入損益（FVTPL）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計價貨幣風險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無（美元法幣，零脫錨風險）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有（USDT 儲備金與脫錨風險）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有（雙重：計價幣別 + 選擇權標的資產雙重波動）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公允價值評價頻率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不需頻繁重評價（面額計價，僅需認列應計利息）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需依資產負債表日市價評價，若採無形資產模式甚至僅能認列減損、不得迴轉增值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每報告期均須以選擇權定價模型（如 Black-Scholes）重新評價，複雜度最高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減損測試（Impairment Test）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不適用（法幣無減損問題，僅需評估交易對手信用減損）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適用，需定期執行虛擬資產減損測試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適用於嵌入式衍生工具之公允價值減損，且需拆解主合約與衍生工具分別評價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審計複雜度（相對排序）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低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5.2 外部審計（Big 4 等級）查核重點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查核面向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Bitfinex USD 放貸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CEX USDT 活期理財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雙幣理財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存款函證（Confirmation）難易度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中等——離岸交易所配合函證程序尚待逐案協調，惟資產性質單純（法幣餘額 + 應計利息），函證內容清晰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中等偏難——需同時函證本金餘額與應計利率結構，且需向平台索取階梯利率適用明細佐證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高難度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——需另外取得選擇權合約條款、行使價、結算機制之第三方佐證文件，函證範本市場尚未標準化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公允價值評估工作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極少（僅應計利息之簡單估算）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中等（虛擬資產市價之外部報價來源比對）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繁重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（須聘請衍生性商品評價專家或採用平台提供之模型並進行獨立覆核）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合規成本（審計簽證費用增量，相對排序）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低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法遵室額外關注項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是否構成非受監管之跨境資金拆放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平台 PoR 揭露品質、資金池挪用風險之內控佐證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是否構成未經核准之衍生性商品交易，是否逾越公司資金運用授權範圍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5"/>
          <w:szCs w:val="25"/>
        </w:rPr>
        <w:t xml:space="preserve">6. 全面風險矩陣與情境壓力測試（Comprehensive Risk Matrix）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6.1 四大風險構面橫向對比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風險構面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Bitfinex USD Margin Funding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Binance/OKX USDT 活期理財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雙幣理財（Dual Investment）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① 交易對手信用與倒閉託管風險（Counterparty Risk）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中——資金存放單一平台，惟出借部位有借款人超額擔保品作為緩衝，且出借人具優先受償權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中高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——資金併入交易所表內資金池，用戶對交易所整體構成無擔保信用曝險，倒閉時求償順位劣後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中高——同樣依附於平台信用，且合約結構更複雜，倒閉情境下之求償與結算爭議風險更高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② 市場方向與本金虧損風險（Delta / Market Risk）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無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——本金以美元法幣計價，出借行為不涉及標的資產價格方向性曝險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低——本金以 USDT 計價，主要風險為 USDT 自身脫錨，非市場方向性曝險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——本金可能被迫按不利價格轉換為貶值資產，具完整方向性風險曝險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③ 流動性鎖定與贖回限制（Liquidity Lock-up）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中——天期屆滿前不可單方面提前贖回，惟可透過短天期階梯設計主動管理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低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——多數活期產品支援即時或 T+1 贖回，流動性最佳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中——鎖定至結算日，且結算前無法取消或部分贖回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④ 極端黑天鵝事件壓力測試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承作充分超額抵押部位，且平台設有風險準備金（Insurance Fund）吸收穿倉損失，本金減損機率極低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交易所單日擠兌／倒閉情境下，用戶本金可能大幅減損甚至歸零（見下方壓力情境）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單日崩跌情境下，本金依行使價強制轉換，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可實質承受與現貨市場相同幅度之下跌損失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，權利金收入無法覆蓋深度下跌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6.2 極端情境壓力測試（單一事件衝擊試算，$1,000,000 本金）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壓力情境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Bitfinex USD 放貸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CEX USDT 活期理財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雙幣理財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標的資產單日崩跌 40%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無直接影響（本金為美元，惟需留意借款人集中違約機率上升，緩釋依賴強平引擎與超額抵押機制）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無直接影響（USDT 計價），惟市場恐慌可能引發交易所擠兌，間接推升流動性風險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重大衝擊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——若行使價未設定足夠安全邊際，本金可能依行使價強制轉換為大幅貶值資產，單一事件損失可達本金 20%–40%+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USDT 脫錨 3%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不適用（本策略不持有 USDT）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本金直接減損約 3%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，且若脫錨事件延續，贖回時可能面臨額外折價或平台暫停出金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若計價貨幣為 USDT，同樣面臨約 3% 直接減損，且與標的資產波動風險疊加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交易所擠兌 / 無預警倒閉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中度衝擊——曝險上限已控制在總資產 10%–15%，且出借部位仍有借款人擔保品可供追償，惟平台若倒閉可能影響資金取回時效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重大衝擊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——資金池模式下，用戶求償順位通常劣後於平台其他債權人，本金可能大幅減損甚至全損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重大衝擊——除本金求償問題外，尚須面對未結算衍生性合約之法律定性爭議，追償複雜度最高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5"/>
          <w:szCs w:val="25"/>
        </w:rPr>
        <w:t xml:space="preserve">7. 綜合決策矩陣與資產管理部配置建議（Strategic Recommendations）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7.1 跨維度決策對比表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對比維度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Bitfinex USD Margin Funding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Binance/OKX USDT 活期理財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雙幣理財（Dual Investment）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標的資產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美元法幣（USD）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穩定幣（USDT）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加密貨幣現貨 + 選擇權（USDT/BTC/ETH 等）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計價幣別風險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有（脫錨風險）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有（脫錨 + 標的雙重波動）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收益本質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利息收入（Interest Income）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利息收入（惟遭階梯稀釋）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選擇權權利金（Option Premium）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百萬美元規模 Effective APY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5.0% – 12.0%+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1.5% – 3.5%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名目 20%–60%+，惟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非保本，隱含尾部虧損可達兩位數百分比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本金保障屬性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本金不受市場方向影響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名目本金穩定（惟承擔平台信用曝險）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非保本，方向性風險完全由投資人承擔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Delta / 市場方向風險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低（僅脫錨風險）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高（完整方向性曝險）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流動性召回週期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天期內鎖定（可透過階梯設計管理，2–120 天彈性）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即時 / T+1（最佳）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鎖定至結算日，無法提前贖回或取消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財務入帳複雜度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低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（現金及約當現金／短期金融資產）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中（虛擬資產存貨，需減損測試）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（嵌入式衍生工具，FVTPL，需選擇權評價模型）</w:t>
            </w:r>
          </w:p>
        </w:tc>
      </w:tr>
      <w:tr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與公司資金管理原則相容性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高度相容</w:t>
            </w:r>
          </w:p>
        </w:tc>
        <w:tc>
          <w:tcPr>
            <w:tcW w:type="dxa" w:w="2337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部分相容（僅限極小額緩衝用途）</w:t>
            </w:r>
          </w:p>
        </w:tc>
        <w:tc>
          <w:tcPr>
            <w:tcW w:type="dxa" w:w="2339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不相容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7.2 資產管理部具體配置方案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【主力配置】Bitfinex USD Margin Funding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- 設定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單一平台總自營曝險上限：資產管理部可運用美元總資產之 10%–15%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- 採用「利差階梯配置機制」：常態市場（APR &lt; 15%）以 2–7 天短天期滾存為主；高息溢價期（APR ≥ 15%）開放至 15–30 天中天期鎖定；極端行情（APR ≥ 30%+）由交易員專案授權配置至 60–120 天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- 實施階梯式到期（Laddering），確保每一營業日均有部分資金到期回流，兼顧收益與流動性安全邊際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【輔助備用】Binance / OKX 小額活期理財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- 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僅作為 T+0 緊急營運調度池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使用，額度嚴格控制在「階梯利率頭牌區間」內（例如單一平台不超過 500–1,000 USDT 等值之象徵性額度，或視個案營運調度需求另行核定極低額度上限）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- 不作為收益增強策略之主力工具，其存在目的僅為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保留即時流動性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，任何超出即時調度需求之閒置資金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不應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留存於此類低效率資金池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【禁止准入】雙幣理財（Dual Investment）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- 因具備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實質市場方向性賭注本質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選擇權被動行權之非對稱下行風險</w:t>
      </w: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，不符合公司自有流動資金「資本保全優先、收益其次」之核心管理原則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- 會計上構成嵌入式衍生工具，評價與稽核複雜度高，亦可能觸及法遵室對「未經授權衍生性商品交易」之合規疑慮</w:t>
      </w:r>
    </w:p>
    <w:p>
      <w:pPr>
        <w:pBdr>
          <w:left w:val="single" w:color="1F3864" w:sz="18"/>
        </w:pBdr>
        <w:shd w:fill="F2F2F2" w:val="clear"/>
        <w:spacing w:after="200" w:before="120"/>
        <w:ind w:left="36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- 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21"/>
          <w:szCs w:val="21"/>
        </w:rPr>
        <w:t xml:space="preserve">建議資產管理部投資政策明文將雙幣理財（及同類結構型期權產品）列入禁止配置清單（Prohibited Instrument List）</w:t>
      </w:r>
    </w:p>
    <w:p>
      <w:pPr>
        <w:pStyle w:val="Heading2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5"/>
          <w:szCs w:val="25"/>
        </w:rPr>
        <w:t xml:space="preserve">8. 內控架構、資安規範與三階段落地時程（Governance &amp; Roadmap）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8.1 API 資安防禦架構（適用於主力配置標的 Bitfinex）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防禦層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具體措施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最小授權架構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API 金鑰僅開放 `Margin Funding` 讀寫權限，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物理性封鎖 `Withdrawal`（提幣）與 `Transfer`（轉帳）功能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網路存取控制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 IP 白名單綁定，僅允許自公司內部 VPC 固定出口 IP 存取 API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金鑰保管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金鑰採 KMS（Key Management Service）加密保管，產生、保管、使用三權分立，並定期執行金鑰輪替（Key Rotation）</w:t>
            </w:r>
          </w:p>
        </w:tc>
      </w:tr>
      <w:tr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稽核留痕</w:t>
            </w:r>
          </w:p>
        </w:tc>
        <w:tc>
          <w:tcPr>
            <w:tcW w:type="dxa" w:w="4675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所有 API 呼叫紀錄完整留存，供內部稽核與外部財務審計覆核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8.2 三階段推進時程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8"/>
      </w:tblGrid>
      <w:tr>
        <w:trPr>
          <w:tblHeader/>
        </w:trP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預計時程</w:t>
            </w:r>
          </w:p>
        </w:tc>
      </w:tr>
      <w:t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Phase 1：內控與財務部簽核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風控委員會、財務部、法遵室完成本報告會簽；完成 API 最小權限設定與資安部門覆核；制定緊急撤資 SOP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核准後 2–4 週</w:t>
            </w:r>
          </w:p>
        </w:tc>
      </w:tr>
      <w:t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Phase 2：小額 PoC 沙盒運作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依核准額度（建議不超過總資產 10%）啟動 Bitfinex USD Margin Funding 小額試點，實地驗證動態天期階梯機制效益；財務部每月覆核對帳與實際淨年化收益率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 個月</w:t>
            </w:r>
          </w:p>
        </w:tc>
      </w:tr>
      <w:tr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Phase 3：正式額度配置與自研微服務接管</w:t>
            </w:r>
          </w:p>
        </w:tc>
        <w:tc>
          <w:tcPr>
            <w:tcW w:type="dxa" w:w="3116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依 PoC 實際數據評估擴大至常態化 10%–15% 上限；將驗證完成之流程遷移為內部自研 API 微服務（In-house Trading Script），部署於內部 VPC</w:t>
            </w:r>
          </w:p>
        </w:tc>
        <w:tc>
          <w:tcPr>
            <w:tcW w:type="dxa" w:w="3118"/>
            <w:tcBorders>
              <w:top w:val="single" w:color="9DB3C8" w:sz="4"/>
              <w:left w:val="single" w:color="9DB3C8" w:sz="4"/>
              <w:bottom w:val="single" w:color="9DB3C8" w:sz="4"/>
              <w:right w:val="single" w:color="9DB3C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PoC 結束後 1 個月內啟動評估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2"/>
          <w:szCs w:val="22"/>
        </w:rPr>
        <w:t xml:space="preserve">8.3 治理與覆核機制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-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月度覆核：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財務部與資產管理部聯合覆核當月出入金、利息收入與曝險集中度。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-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季度風控報告：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提交風控委員會，內容涵蓋單一平台曝險比率、天期分佈、實際淨年化收益率與目標值落差分析，以及 CEX 活期理財緩衝池餘額是否逾越核定上限。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-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異常事件即時通報：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平台異常出金延遲、API 異常呼叫、USDT 脫錨事件、或同業穿倉/擠兌事件，須於 24 小時內通報風控主管與財務長。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本報告由 TSGEX 資產管理部撰擬，僅供公司內部財務部、風控委員會、法遵室與高階管理層審查之用，不對外流通。文件所載之利率結構、情境試算與機率權重均為基於公開市場觀察之示意性估算，不構成收益保證或市場預測，實際執行結果仍受市場條件變動影響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497B0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497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497B0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8497B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497B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497B0"/>
        <w:sz w:val="16"/>
        <w:szCs w:val="16"/>
      </w:rPr>
      <w:t xml:space="preserve">TSGEX 資產管理部｜內部機密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2026-09-04T08:05:38.665Z</dcterms:created>
  <dcterms:modified xsi:type="dcterms:W3CDTF">2026-09-04T08:05:38.665Z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