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000000"/>
          <w:sz w:val="24"/>
          <w:szCs w:val="24"/>
        </w:rPr>
        <w:t xml:space="preserve">TECHNICAL SPECIFICATION DOCUMENT</w:t>
      </w:r>
    </w:p>
    <w:p>
      <w:pPr>
        <w:spacing w:after="80"/>
        <w:jc w:val="center"/>
      </w:pPr>
      <w:r>
        <w:rPr>
          <w:rFonts w:ascii="Times New Roman" w:cs="Times New Roman" w:eastAsia="Times New Roman" w:hAnsi="Times New Roman"/>
          <w:b/>
          <w:bCs/>
          <w:color w:val="000000"/>
          <w:sz w:val="24"/>
          <w:szCs w:val="24"/>
        </w:rPr>
        <w:t xml:space="preserve">Sectors Hackathon 2026 — Track 3 Market Intelligence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Field</w:t>
            </w:r>
          </w:p>
        </w:tc>
        <w:tc>
          <w:tcPr>
            <w:tcW w:type="dxa" w:w="6826"/>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Keterangan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Kode Dokumen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TSD-SH2026-002</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Versi</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1.0 (Draft)</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Tanggal</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4 September 2026</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Status</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Draft — perlu dikunci sebelum development dimulai</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Pemilik Dokumen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Nick Wilsan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Kompetisi</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Sectors Hackathon 2026, Track 3 — Market Intelligence</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Deadline Submit</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30 September 2026, 23:59 WIB</w:t>
            </w:r>
          </w:p>
        </w:tc>
      </w:tr>
    </w:tbl>
    <w:p>
      <w:pPr>
        <w:spacing w:after="120"/>
      </w:pPr>
    </w:p>
    <w:p>
      <w:pPr>
        <w:pStyle w:val="Heading1"/>
        <w:spacing w:after="160" w:before="280"/>
        <w:jc w:val="left"/>
      </w:pPr>
      <w:r>
        <w:rPr>
          <w:rFonts w:ascii="Times New Roman" w:cs="Times New Roman" w:eastAsia="Times New Roman" w:hAnsi="Times New Roman"/>
          <w:b/>
          <w:bCs/>
          <w:color w:val="000000"/>
          <w:sz w:val="24"/>
          <w:szCs w:val="24"/>
        </w:rPr>
        <w:t xml:space="preserve">1. Tujuan Dokumen</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Dokumen ini menjelaskan rancangan teknis produk yang didefinisikan pada dokumen PRD-SH2026-001. Dokumen ini menjadi acuan mengenai arsitektur, batas antar komponen, logika perhitungan, serta konvensi kerja. Karena proyek dikerjakan satu orang, seluruh pekerjaan berjalan berurutan, sehingga urutan pengerjaan dan kejelasan batas antar lapisan menjadi penentu utama apakah proyek selesai tepat waktu.</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Dokumen ini bersifat ringkas dan tidak menggantikan dokumentasi kode. Setiap keputusan teknis yang berubah selama pengembangan wajib dicatat pada bagian sebelas agar riwayat keputusan tetap dapat ditelusuri.</w:t>
      </w:r>
    </w:p>
    <w:p>
      <w:pPr>
        <w:pStyle w:val="Heading1"/>
        <w:spacing w:after="160" w:before="280"/>
        <w:jc w:val="left"/>
      </w:pPr>
      <w:r>
        <w:rPr>
          <w:rFonts w:ascii="Times New Roman" w:cs="Times New Roman" w:eastAsia="Times New Roman" w:hAnsi="Times New Roman"/>
          <w:b/>
          <w:bCs/>
          <w:color w:val="000000"/>
          <w:sz w:val="24"/>
          <w:szCs w:val="24"/>
        </w:rPr>
        <w:t xml:space="preserve">2. Gambaran Arsitektur</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Sistem dirancang dalam empat lapisan yang terpisah secara tanggung jawab. Pemisahan ini penting agar lapisan analisis tetap dapat diuji tanpa bergantung pada antarmuka, dan agar lapisan AI tidak pernah menjadi sumber kebenaran data.</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rPr>
          <w:tblHeader/>
        </w:trPr>
        <w:tc>
          <w:tcPr>
            <w:tcW w:type="dxa" w:w="18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Lapisan</w:t>
            </w:r>
          </w:p>
        </w:tc>
        <w:tc>
          <w:tcPr>
            <w:tcW w:type="dxa" w:w="50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Tanggung Jawab</w:t>
            </w:r>
          </w:p>
        </w:tc>
        <w:tc>
          <w:tcPr>
            <w:tcW w:type="dxa" w:w="2226"/>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Ketergantungan</w:t>
            </w:r>
          </w:p>
        </w:tc>
      </w:tr>
      <w:tr>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Lapisan Data</w:t>
            </w:r>
          </w:p>
        </w:tc>
        <w:tc>
          <w:tcPr>
            <w:tcW w:type="dxa" w:w="5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Mengambil data dari Sectors melalui MCP atau REST API, melakukan normalisasi bentuk data, dan menyimpan hasil sementara pada cache.</w:t>
            </w:r>
          </w:p>
        </w:tc>
        <w:tc>
          <w:tcPr>
            <w:tcW w:type="dxa" w:w="2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Sectors MCP atau REST API</w:t>
            </w:r>
          </w:p>
        </w:tc>
      </w:tr>
      <w:tr>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Lapisan Analisis</w:t>
            </w:r>
          </w:p>
        </w:tc>
        <w:tc>
          <w:tcPr>
            <w:tcW w:type="dxa" w:w="5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Menghitung skor komposit, persentil peer, klasifikasi framework, deteksi anomali, pola candlestick, dan indikator teknikal.</w:t>
            </w:r>
          </w:p>
        </w:tc>
        <w:tc>
          <w:tcPr>
            <w:tcW w:type="dxa" w:w="2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Lapisan Data</w:t>
            </w:r>
          </w:p>
        </w:tc>
      </w:tr>
      <w:tr>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Lapisan AI</w:t>
            </w:r>
          </w:p>
        </w:tc>
        <w:tc>
          <w:tcPr>
            <w:tcW w:type="dxa" w:w="5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Menyusun penjelasan berbahasa awam atas keluaran lapisan analisis dan meringkas berita terkait anomali.</w:t>
            </w:r>
          </w:p>
        </w:tc>
        <w:tc>
          <w:tcPr>
            <w:tcW w:type="dxa" w:w="2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Lapisan Analisis dan penyedia AI generatif</w:t>
            </w:r>
          </w:p>
        </w:tc>
      </w:tr>
      <w:tr>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Lapisan Antarmuka</w:t>
            </w:r>
          </w:p>
        </w:tc>
        <w:tc>
          <w:tcPr>
            <w:tcW w:type="dxa" w:w="5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Menyajikan hasil analisis, grafik, screener, dan kanal tanya jawab kepada pengguna.</w:t>
            </w:r>
          </w:p>
        </w:tc>
        <w:tc>
          <w:tcPr>
            <w:tcW w:type="dxa" w:w="2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Lapisan Analisis dan Lapisan AI</w:t>
            </w:r>
          </w:p>
        </w:tc>
      </w:tr>
    </w:tbl>
    <w:p>
      <w:pPr>
        <w:spacing w:after="120"/>
      </w:pPr>
    </w:p>
    <w:p>
      <w:pPr>
        <w:spacing w:after="120" w:line="276"/>
        <w:jc w:val="both"/>
      </w:pPr>
      <w:r>
        <w:rPr>
          <w:rFonts w:ascii="Times New Roman" w:cs="Times New Roman" w:eastAsia="Times New Roman" w:hAnsi="Times New Roman"/>
          <w:b/>
          <w:bCs/>
          <w:i w:val="false"/>
          <w:iCs w:val="false"/>
          <w:color w:val="000000"/>
          <w:sz w:val="24"/>
          <w:szCs w:val="24"/>
        </w:rPr>
        <w:t xml:space="preserve">Aturan arsitektur yang mengikat adalah sebagai berikut. Lapisan AI tidak boleh mengambil data langsung dari sumber data dan hanya menerima hasil perhitungan dari lapisan analisis sebagai konteks. Aturan ini menjaga agar seluruh angka yang disebut AI dapat ditelusuri ke perhitungan yang nyata, sekaligus menjaga posisi AI tetap sebagai lapisan pendukung sesuai batasan B-04 pada dokumen PRD.</w:t>
      </w:r>
    </w:p>
    <w:p>
      <w:pPr>
        <w:pStyle w:val="Heading1"/>
        <w:spacing w:after="160" w:before="280"/>
        <w:jc w:val="left"/>
      </w:pPr>
      <w:r>
        <w:rPr>
          <w:rFonts w:ascii="Times New Roman" w:cs="Times New Roman" w:eastAsia="Times New Roman" w:hAnsi="Times New Roman"/>
          <w:b/>
          <w:bCs/>
          <w:color w:val="000000"/>
          <w:sz w:val="24"/>
          <w:szCs w:val="24"/>
        </w:rPr>
        <w:t xml:space="preserve">3. Stack Teknologi</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Kompetisi tidak membatasi pilihan teknologi. Pilihan berikut disusun berdasarkan pertimbangan kecepatan pengembangan dalam waktu terbatas dan kemudahan demonstrasi melalui video.</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Komponen</w:t>
            </w:r>
          </w:p>
        </w:tc>
        <w:tc>
          <w:tcPr>
            <w:tcW w:type="dxa" w:w="28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Pilihan yang Disarankan</w:t>
            </w:r>
          </w:p>
        </w:tc>
        <w:tc>
          <w:tcPr>
            <w:tcW w:type="dxa" w:w="4226"/>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Alasan</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Bentuk produk</w:t>
            </w:r>
          </w:p>
        </w:tc>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Aplikasi web</w:t>
            </w:r>
          </w:p>
        </w:tc>
        <w:tc>
          <w:tcPr>
            <w:tcW w:type="dxa" w:w="4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Paling cepat dikembangkan dan paling mudah didemonstrasikan melalui rekaman layar tanpa proses pemasangan.</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Antarmuka</w:t>
            </w:r>
          </w:p>
        </w:tc>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React.js (Vite + TypeScript)</w:t>
            </w:r>
          </w:p>
        </w:tc>
        <w:tc>
          <w:tcPr>
            <w:tcW w:type="dxa" w:w="4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Framework paling interaktif dan familiar untuk membangun UI dashboard, grafik, dan screener yang menarik secara visual. Vite dipilih agar waktu build dan iterasi tetap cepat selama periode development yang terbatas.</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Lapisan analisis</w:t>
            </w:r>
          </w:p>
        </w:tc>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Python atau JavaScript</w:t>
            </w:r>
          </w:p>
        </w:tc>
        <w:tc>
          <w:tcPr>
            <w:tcW w:type="dxa" w:w="4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Perhitungan statistik dasar tersedia melalui pustaka standar pada kedua bahasa.</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Penyimpanan cache</w:t>
            </w:r>
          </w:p>
        </w:tc>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Berkas lokal atau basis data ringan</w:t>
            </w:r>
          </w:p>
        </w:tc>
        <w:tc>
          <w:tcPr>
            <w:tcW w:type="dxa" w:w="4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Cukup untuk skala prototipe, menghemat kredit API, dan memungkinkan demonstrasi berjalan tanpa koneksi langsung ke sumber data.</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Penyedia AI generatif</w:t>
            </w:r>
          </w:p>
        </w:tc>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Google AI Studio (Gemini API) - model gemini-2.5-flash atau gemini-2.0-flash</w:t>
            </w:r>
          </w:p>
        </w:tc>
        <w:tc>
          <w:tcPr>
            <w:tcW w:type="dxa" w:w="4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Tersedia tingkat gratis (free tier) dengan kuota harian yang cukup untuk pengembangan dan demo, sehingga menghemat anggaran di luar kredit Sectors. Upgrade ke billing berbayar hanya dilakukan jika kuota gratis terbukti tidak cukup.</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Deployment</w:t>
            </w:r>
          </w:p>
        </w:tc>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Opsional</w:t>
            </w:r>
          </w:p>
        </w:tc>
        <w:tc>
          <w:tcPr>
            <w:tcW w:type="dxa" w:w="4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Kompetisi tidak mewajibkan deployment. Repositori publik dan video demonstrasi sudah memenuhi syarat kelayakan.</w:t>
            </w:r>
          </w:p>
        </w:tc>
      </w:tr>
    </w:tbl>
    <w:p>
      <w:pPr>
        <w:pStyle w:val="Heading1"/>
        <w:spacing w:after="160" w:before="280"/>
        <w:jc w:val="left"/>
      </w:pPr>
      <w:r>
        <w:rPr>
          <w:rFonts w:ascii="Times New Roman" w:cs="Times New Roman" w:eastAsia="Times New Roman" w:hAnsi="Times New Roman"/>
          <w:b/>
          <w:bCs/>
          <w:color w:val="000000"/>
          <w:sz w:val="24"/>
          <w:szCs w:val="24"/>
        </w:rPr>
        <w:t xml:space="preserve">4. Alur Data</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Alur data berjalan searah dari sumber data menuju antarmuka, dengan cache sebagai perantara yang menahan pemakaian kredit API.</w:t>
      </w:r>
    </w:p>
    <w:p>
      <w:pPr>
        <w:pStyle w:val="ListParagraph"/>
        <w:numPr>
          <w:ilvl w:val="0"/>
          <w:numId w:val="2"/>
        </w:numPr>
        <w:spacing w:after="80" w:line="276"/>
        <w:jc w:val="both"/>
      </w:pPr>
      <w:r>
        <w:rPr>
          <w:rFonts w:ascii="Times New Roman" w:cs="Times New Roman" w:eastAsia="Times New Roman" w:hAnsi="Times New Roman"/>
          <w:color w:val="000000"/>
          <w:sz w:val="24"/>
          <w:szCs w:val="24"/>
        </w:rPr>
        <w:t xml:space="preserve">Lapisan data memanggil Sectors untuk mengambil data emiten, rasio fundamental, dan harga historis sesuai kebutuhan fitur yang sedang diakses.</w:t>
      </w:r>
    </w:p>
    <w:p>
      <w:pPr>
        <w:pStyle w:val="ListParagraph"/>
        <w:numPr>
          <w:ilvl w:val="0"/>
          <w:numId w:val="2"/>
        </w:numPr>
        <w:spacing w:after="80" w:line="276"/>
        <w:jc w:val="both"/>
      </w:pPr>
      <w:r>
        <w:rPr>
          <w:rFonts w:ascii="Times New Roman" w:cs="Times New Roman" w:eastAsia="Times New Roman" w:hAnsi="Times New Roman"/>
          <w:color w:val="000000"/>
          <w:sz w:val="24"/>
          <w:szCs w:val="24"/>
        </w:rPr>
        <w:t xml:space="preserve">Hasil pemanggilan disimpan pada cache beserta penanda waktu, sehingga pemanggilan berulang dalam rentang waktu tertentu dilayani dari cache.</w:t>
      </w:r>
    </w:p>
    <w:p>
      <w:pPr>
        <w:pStyle w:val="ListParagraph"/>
        <w:numPr>
          <w:ilvl w:val="0"/>
          <w:numId w:val="2"/>
        </w:numPr>
        <w:spacing w:after="80" w:line="276"/>
        <w:jc w:val="both"/>
      </w:pPr>
      <w:r>
        <w:rPr>
          <w:rFonts w:ascii="Times New Roman" w:cs="Times New Roman" w:eastAsia="Times New Roman" w:hAnsi="Times New Roman"/>
          <w:color w:val="000000"/>
          <w:sz w:val="24"/>
          <w:szCs w:val="24"/>
        </w:rPr>
        <w:t xml:space="preserve">Lapisan analisis membaca data yang telah dinormalisasi, lalu menghasilkan skor, persentil, klasifikasi, penanda anomali, penanda pola, dan nilai indikator.</w:t>
      </w:r>
    </w:p>
    <w:p>
      <w:pPr>
        <w:pStyle w:val="ListParagraph"/>
        <w:numPr>
          <w:ilvl w:val="0"/>
          <w:numId w:val="2"/>
        </w:numPr>
        <w:spacing w:after="80" w:line="276"/>
        <w:jc w:val="both"/>
      </w:pPr>
      <w:r>
        <w:rPr>
          <w:rFonts w:ascii="Times New Roman" w:cs="Times New Roman" w:eastAsia="Times New Roman" w:hAnsi="Times New Roman"/>
          <w:color w:val="000000"/>
          <w:sz w:val="24"/>
          <w:szCs w:val="24"/>
        </w:rPr>
        <w:t xml:space="preserve">Lapisan antarmuka menampilkan hasil analisis kepada pengguna dalam bentuk grafik, tabel peringkat, dan halaman detail emiten.</w:t>
      </w:r>
    </w:p>
    <w:p>
      <w:pPr>
        <w:pStyle w:val="ListParagraph"/>
        <w:numPr>
          <w:ilvl w:val="0"/>
          <w:numId w:val="2"/>
        </w:numPr>
        <w:spacing w:after="80" w:line="276"/>
        <w:jc w:val="both"/>
      </w:pPr>
      <w:r>
        <w:rPr>
          <w:rFonts w:ascii="Times New Roman" w:cs="Times New Roman" w:eastAsia="Times New Roman" w:hAnsi="Times New Roman"/>
          <w:color w:val="000000"/>
          <w:sz w:val="24"/>
          <w:szCs w:val="24"/>
        </w:rPr>
        <w:t xml:space="preserve">Ketika pengguna meminta penjelasan, lapisan AI menerima hasil analisis yang relevan sebagai konteks, lalu menghasilkan penjelasan berbahasa awam.</w:t>
      </w:r>
    </w:p>
    <w:p>
      <w:pPr>
        <w:pStyle w:val="Heading1"/>
        <w:spacing w:after="160" w:before="280"/>
        <w:jc w:val="left"/>
      </w:pPr>
      <w:r>
        <w:rPr>
          <w:rFonts w:ascii="Times New Roman" w:cs="Times New Roman" w:eastAsia="Times New Roman" w:hAnsi="Times New Roman"/>
          <w:b/>
          <w:bCs/>
          <w:color w:val="000000"/>
          <w:sz w:val="24"/>
          <w:szCs w:val="24"/>
        </w:rPr>
        <w:t xml:space="preserve">5. Logika Perhitungan</w:t>
      </w:r>
    </w:p>
    <w:p>
      <w:pPr>
        <w:pStyle w:val="Heading2"/>
        <w:spacing w:after="120" w:before="220"/>
        <w:jc w:val="left"/>
      </w:pPr>
      <w:r>
        <w:rPr>
          <w:rFonts w:ascii="Times New Roman" w:cs="Times New Roman" w:eastAsia="Times New Roman" w:hAnsi="Times New Roman"/>
          <w:b/>
          <w:bCs/>
          <w:color w:val="000000"/>
          <w:sz w:val="24"/>
          <w:szCs w:val="24"/>
        </w:rPr>
        <w:t xml:space="preserve">5.1 Skor Komposit Fundamental</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Skor komposit disusun dari beberapa komponen rasio yang masing-masing dinormalisasi terlebih dahulu ke skala yang sama, kemudian digabungkan menggunakan bobot yang ditetapkan tim. Normalisasi dilakukan relatif terhadap sebaran nilai pada sektor yang sama, bukan terhadap nilai absolut, karena rentang wajar setiap rasio berbeda antar sektor.</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Bobot yang dipilih wajib didokumentasikan beserta alasannya di dalam kode maupun di dalam produk, karena transparansi perhitungan merupakan bagian dari nilai produk dan menjadi pembeda terhadap produk yang hanya menampilkan angka tanpa penjelasan.</w:t>
      </w:r>
    </w:p>
    <w:p>
      <w:pPr>
        <w:spacing w:after="120" w:line="276"/>
        <w:jc w:val="both"/>
      </w:pPr>
      <w:r>
        <w:rPr>
          <w:rFonts w:ascii="Times New Roman" w:cs="Times New Roman" w:eastAsia="Times New Roman" w:hAnsi="Times New Roman"/>
          <w:b/>
          <w:bCs/>
          <w:i w:val="false"/>
          <w:iCs w:val="false"/>
          <w:color w:val="000000"/>
          <w:sz w:val="24"/>
          <w:szCs w:val="24"/>
        </w:rPr>
        <w:t xml:space="preserve">Penanganan data tidak lengkap ditetapkan sebagai berikut. Emiten yang kehilangan lebih dari satu komponen penyusun skor tidak diberi skor, melainkan ditandai sebagai data tidak memadai. Memberi skor pada data tidak lengkap akan menghasilkan peringkat yang menyesatkan.</w:t>
      </w:r>
    </w:p>
    <w:p>
      <w:pPr>
        <w:pStyle w:val="Heading2"/>
        <w:spacing w:after="120" w:before="220"/>
        <w:jc w:val="left"/>
      </w:pPr>
      <w:r>
        <w:rPr>
          <w:rFonts w:ascii="Times New Roman" w:cs="Times New Roman" w:eastAsia="Times New Roman" w:hAnsi="Times New Roman"/>
          <w:b/>
          <w:bCs/>
          <w:color w:val="000000"/>
          <w:sz w:val="24"/>
          <w:szCs w:val="24"/>
        </w:rPr>
        <w:t xml:space="preserve">5.2 Persentil Peer dan Sektor</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Kelompok pembanding dibentuk dari emiten yang berada pada sub-sektor yang sama. Untuk setiap metrik, posisi emiten dihitung sebagai persentil terhadap seluruh anggota kelompok. Jumlah anggota kelompok wajib ditampilkan bersama hasilnya, karena persentil pada kelompok yang sangat kecil tidak bermakna dan berpotensi menyesatkan pengguna.</w:t>
      </w:r>
    </w:p>
    <w:p>
      <w:pPr>
        <w:pStyle w:val="Heading2"/>
        <w:spacing w:after="120" w:before="220"/>
        <w:jc w:val="left"/>
      </w:pPr>
      <w:r>
        <w:rPr>
          <w:rFonts w:ascii="Times New Roman" w:cs="Times New Roman" w:eastAsia="Times New Roman" w:hAnsi="Times New Roman"/>
          <w:b/>
          <w:bCs/>
          <w:color w:val="000000"/>
          <w:sz w:val="24"/>
          <w:szCs w:val="24"/>
        </w:rPr>
        <w:t xml:space="preserve">5.3 Deteksi Anomali</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Anomali ditetapkan berdasarkan penyimpangan nilai terkini terhadap sebaran nilai historis emiten yang bersangkutan pada jendela waktu tertentu. Ambang batas penyimpangan ditetapkan di awal dan wajib didokumentasikan, karena ambang yang berbeda menghasilkan jumlah temuan yang sangat berbeda.</w:t>
      </w:r>
    </w:p>
    <w:p>
      <w:pPr>
        <w:spacing w:after="120" w:line="276"/>
        <w:jc w:val="both"/>
      </w:pPr>
      <w:r>
        <w:rPr>
          <w:rFonts w:ascii="Times New Roman" w:cs="Times New Roman" w:eastAsia="Times New Roman" w:hAnsi="Times New Roman"/>
          <w:b/>
          <w:bCs/>
          <w:i w:val="false"/>
          <w:iCs w:val="false"/>
          <w:color w:val="000000"/>
          <w:sz w:val="24"/>
          <w:szCs w:val="24"/>
        </w:rPr>
        <w:t xml:space="preserve">Keluaran wajib berbentuk pernyataan faktual mengenai besaran penyimpangan yang terukur. Keluaran dilarang menyatakan penyebab maupun perkiraan kelanjutan pergerakan.</w:t>
      </w:r>
    </w:p>
    <w:p>
      <w:pPr>
        <w:pStyle w:val="Heading2"/>
        <w:spacing w:after="120" w:before="220"/>
        <w:jc w:val="left"/>
      </w:pPr>
      <w:r>
        <w:rPr>
          <w:rFonts w:ascii="Times New Roman" w:cs="Times New Roman" w:eastAsia="Times New Roman" w:hAnsi="Times New Roman"/>
          <w:b/>
          <w:bCs/>
          <w:color w:val="000000"/>
          <w:sz w:val="24"/>
          <w:szCs w:val="24"/>
        </w:rPr>
        <w:t xml:space="preserve">5.4 Pengenalan Pola Candlestick</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Pola dikenali melalui aturan matematis atas hubungan antara harga pembukaan, tertinggi, terendah, dan penutupan pada satu candle maupun beberapa candle berurutan. Pendekatan ini berbasis aturan dan tidak memerlukan pembelajaran mesin. Aturan dapat disusun sendiri atau memanfaatkan pustaka analisis teknikal yang tersedia. Memanfaatkan pustaka yang sudah ada adalah pilihan yang tepat di sini, karena waktu yang dihemat lebih berharga daripada nilai tambah menulis ulang aturan yang sudah baku.</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Setiap pola disimpan bersama kategorinya sesuai penamaan baku pada analisis teknikal. Penamaan kategori ini merupakan taksonomi yang telah lama digunakan dan bukan klaim yang dibuat tim, namun tetap wajib disertai keterangan bahwa keandalan pola bervariasi dan tidak menjamin arah pergerakan harga.</w:t>
      </w:r>
    </w:p>
    <w:p>
      <w:pPr>
        <w:pStyle w:val="Heading2"/>
        <w:spacing w:after="120" w:before="220"/>
        <w:jc w:val="left"/>
      </w:pPr>
      <w:r>
        <w:rPr>
          <w:rFonts w:ascii="Times New Roman" w:cs="Times New Roman" w:eastAsia="Times New Roman" w:hAnsi="Times New Roman"/>
          <w:b/>
          <w:bCs/>
          <w:color w:val="000000"/>
          <w:sz w:val="24"/>
          <w:szCs w:val="24"/>
        </w:rPr>
        <w:t xml:space="preserve">5.5 Indikator Teknikal</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Rata-rata bergerak dihitung dari harga penutupan pada beberapa panjang jendela yang berbeda. Indeks kekuatan relatif dihitung dari perbandingan rata-rata kenaikan dan rata-rata penurunan harga pada jendela waktu tertentu. Kedua indikator menggunakan data yang identik dengan pengenalan pola candlestick sehingga tidak menambah pemanggilan data baru.</w:t>
      </w:r>
    </w:p>
    <w:p>
      <w:pPr>
        <w:pStyle w:val="Heading1"/>
        <w:spacing w:after="160" w:before="280"/>
        <w:jc w:val="left"/>
      </w:pPr>
      <w:r>
        <w:rPr>
          <w:rFonts w:ascii="Times New Roman" w:cs="Times New Roman" w:eastAsia="Times New Roman" w:hAnsi="Times New Roman"/>
          <w:b/>
          <w:bCs/>
          <w:color w:val="000000"/>
          <w:sz w:val="24"/>
          <w:szCs w:val="24"/>
        </w:rPr>
        <w:t xml:space="preserve">6. Integrasi Lapisan AI</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Lapisan AI menerima konteks berupa hasil perhitungan dalam bentuk terstruktur, bukan berupa data mentah. Instruksi sistem yang diberikan kepada model wajib memuat ketentuan berikut secara eksplisit.</w:t>
      </w:r>
    </w:p>
    <w:p>
      <w:pPr>
        <w:pStyle w:val="ListParagraph"/>
        <w:numPr>
          <w:ilvl w:val="0"/>
          <w:numId w:val="3"/>
        </w:numPr>
        <w:spacing w:after="80" w:line="276"/>
        <w:jc w:val="both"/>
      </w:pPr>
      <w:r>
        <w:rPr>
          <w:rFonts w:ascii="Times New Roman" w:cs="Times New Roman" w:eastAsia="Times New Roman" w:hAnsi="Times New Roman"/>
          <w:color w:val="000000"/>
          <w:sz w:val="24"/>
          <w:szCs w:val="24"/>
        </w:rPr>
        <w:t xml:space="preserve">Model hanya boleh menjelaskan angka yang tersedia pada konteks dan dilarang mengarang angka yang tidak diberikan.</w:t>
      </w:r>
    </w:p>
    <w:p>
      <w:pPr>
        <w:pStyle w:val="ListParagraph"/>
        <w:numPr>
          <w:ilvl w:val="0"/>
          <w:numId w:val="3"/>
        </w:numPr>
        <w:spacing w:after="80" w:line="276"/>
        <w:jc w:val="both"/>
      </w:pPr>
      <w:r>
        <w:rPr>
          <w:rFonts w:ascii="Times New Roman" w:cs="Times New Roman" w:eastAsia="Times New Roman" w:hAnsi="Times New Roman"/>
          <w:color w:val="000000"/>
          <w:sz w:val="24"/>
          <w:szCs w:val="24"/>
        </w:rPr>
        <w:t xml:space="preserve">Model dilarang menyarankan tindakan beli, jual, atau menahan posisi dalam bentuk apa pun.</w:t>
      </w:r>
    </w:p>
    <w:p>
      <w:pPr>
        <w:pStyle w:val="ListParagraph"/>
        <w:numPr>
          <w:ilvl w:val="0"/>
          <w:numId w:val="3"/>
        </w:numPr>
        <w:spacing w:after="80" w:line="276"/>
        <w:jc w:val="both"/>
      </w:pPr>
      <w:r>
        <w:rPr>
          <w:rFonts w:ascii="Times New Roman" w:cs="Times New Roman" w:eastAsia="Times New Roman" w:hAnsi="Times New Roman"/>
          <w:color w:val="000000"/>
          <w:sz w:val="24"/>
          <w:szCs w:val="24"/>
        </w:rPr>
        <w:t xml:space="preserve">Model dilarang menyatakan perkiraan arah harga maupun probabilitas pergerakan harga.</w:t>
      </w:r>
    </w:p>
    <w:p>
      <w:pPr>
        <w:pStyle w:val="ListParagraph"/>
        <w:numPr>
          <w:ilvl w:val="0"/>
          <w:numId w:val="3"/>
        </w:numPr>
        <w:spacing w:after="80" w:line="276"/>
        <w:jc w:val="both"/>
      </w:pPr>
      <w:r>
        <w:rPr>
          <w:rFonts w:ascii="Times New Roman" w:cs="Times New Roman" w:eastAsia="Times New Roman" w:hAnsi="Times New Roman"/>
          <w:color w:val="000000"/>
          <w:sz w:val="24"/>
          <w:szCs w:val="24"/>
        </w:rPr>
        <w:t xml:space="preserve">Ketika informasi tidak tersedia pada konteks, model wajib menyatakan bahwa informasi tersebut tidak tersedia.</w:t>
      </w:r>
    </w:p>
    <w:p>
      <w:pPr>
        <w:pStyle w:val="ListParagraph"/>
        <w:numPr>
          <w:ilvl w:val="0"/>
          <w:numId w:val="3"/>
        </w:numPr>
        <w:spacing w:after="80" w:line="276"/>
        <w:jc w:val="both"/>
      </w:pPr>
      <w:r>
        <w:rPr>
          <w:rFonts w:ascii="Times New Roman" w:cs="Times New Roman" w:eastAsia="Times New Roman" w:hAnsi="Times New Roman"/>
          <w:color w:val="000000"/>
          <w:sz w:val="24"/>
          <w:szCs w:val="24"/>
        </w:rPr>
        <w:t xml:space="preserve">Penjelasan disusun dalam bahasa yang dapat dipahami pengguna tanpa latar belakang keuangan.</w:t>
      </w:r>
    </w:p>
    <w:p>
      <w:pPr>
        <w:spacing w:after="120" w:line="276"/>
        <w:jc w:val="both"/>
      </w:pPr>
      <w:r>
        <w:rPr>
          <w:rFonts w:ascii="Times New Roman" w:cs="Times New Roman" w:eastAsia="Times New Roman" w:hAnsi="Times New Roman"/>
          <w:b/>
          <w:bCs/>
          <w:i w:val="false"/>
          <w:iCs w:val="false"/>
          <w:color w:val="000000"/>
          <w:sz w:val="24"/>
          <w:szCs w:val="24"/>
        </w:rPr>
        <w:t xml:space="preserve">Pengujian terhadap lapisan AI dilakukan menggunakan sekumpulan pertanyaan rawan yang sengaja memancing anjuran investasi. Daftar pertanyaan ini disimpan di dalam repositori dan dijalankan ulang setiap kali instruksi sistem diubah.</w:t>
      </w:r>
    </w:p>
    <w:p>
      <w:pPr>
        <w:pStyle w:val="Heading1"/>
        <w:spacing w:after="160" w:before="280"/>
        <w:jc w:val="left"/>
      </w:pPr>
      <w:r>
        <w:rPr>
          <w:rFonts w:ascii="Times New Roman" w:cs="Times New Roman" w:eastAsia="Times New Roman" w:hAnsi="Times New Roman"/>
          <w:b/>
          <w:bCs/>
          <w:color w:val="000000"/>
          <w:sz w:val="24"/>
          <w:szCs w:val="24"/>
        </w:rPr>
        <w:t xml:space="preserve">7. Manajemen Kredit API dan Cache</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Kuota kredit Sectors berjumlah seribu dan bersifat terbatas, sehingga pemakaian selama pengembangan harus dikendalikan sejak hari pertama.</w:t>
      </w:r>
    </w:p>
    <w:p>
      <w:pPr>
        <w:pStyle w:val="ListParagraph"/>
        <w:numPr>
          <w:ilvl w:val="0"/>
          <w:numId w:val="2"/>
        </w:numPr>
        <w:spacing w:after="80" w:line="276"/>
        <w:jc w:val="both"/>
      </w:pPr>
      <w:r>
        <w:rPr>
          <w:rFonts w:ascii="Times New Roman" w:cs="Times New Roman" w:eastAsia="Times New Roman" w:hAnsi="Times New Roman"/>
          <w:color w:val="000000"/>
          <w:sz w:val="24"/>
          <w:szCs w:val="24"/>
        </w:rPr>
        <w:t xml:space="preserve">Seluruh pemanggilan data selama pengembangan wajib melalui lapisan cache. Pemanggilan langsung tanpa cache hanya diizinkan pada saat verifikasi awal ketersediaan data.</w:t>
      </w:r>
    </w:p>
    <w:p>
      <w:pPr>
        <w:pStyle w:val="ListParagraph"/>
        <w:numPr>
          <w:ilvl w:val="0"/>
          <w:numId w:val="2"/>
        </w:numPr>
        <w:spacing w:after="80" w:line="276"/>
        <w:jc w:val="both"/>
      </w:pPr>
      <w:r>
        <w:rPr>
          <w:rFonts w:ascii="Times New Roman" w:cs="Times New Roman" w:eastAsia="Times New Roman" w:hAnsi="Times New Roman"/>
          <w:color w:val="000000"/>
          <w:sz w:val="24"/>
          <w:szCs w:val="24"/>
        </w:rPr>
        <w:t xml:space="preserve">Data yang jarang berubah, seperti profil emiten dan laporan keuangan periodik, disimpan dengan masa berlaku cache yang panjang.</w:t>
      </w:r>
    </w:p>
    <w:p>
      <w:pPr>
        <w:pStyle w:val="ListParagraph"/>
        <w:numPr>
          <w:ilvl w:val="0"/>
          <w:numId w:val="2"/>
        </w:numPr>
        <w:spacing w:after="80" w:line="276"/>
        <w:jc w:val="both"/>
      </w:pPr>
      <w:r>
        <w:rPr>
          <w:rFonts w:ascii="Times New Roman" w:cs="Times New Roman" w:eastAsia="Times New Roman" w:hAnsi="Times New Roman"/>
          <w:color w:val="000000"/>
          <w:sz w:val="24"/>
          <w:szCs w:val="24"/>
        </w:rPr>
        <w:t xml:space="preserve">Pengujian antarmuka menggunakan data contoh yang telah tersimpan, bukan pemanggilan baru ke sumber data.</w:t>
      </w:r>
    </w:p>
    <w:p>
      <w:pPr>
        <w:pStyle w:val="ListParagraph"/>
        <w:numPr>
          <w:ilvl w:val="0"/>
          <w:numId w:val="2"/>
        </w:numPr>
        <w:spacing w:after="80" w:line="276"/>
        <w:jc w:val="both"/>
      </w:pPr>
      <w:r>
        <w:rPr>
          <w:rFonts w:ascii="Times New Roman" w:cs="Times New Roman" w:eastAsia="Times New Roman" w:hAnsi="Times New Roman"/>
          <w:color w:val="000000"/>
          <w:sz w:val="24"/>
          <w:szCs w:val="24"/>
        </w:rPr>
        <w:t xml:space="preserve">Pemakaian kredit dicatat secara berkala agar sisa kuota selalu diketahui sebelum memasuki tahap pengujian akhir.</w:t>
      </w:r>
    </w:p>
    <w:p>
      <w:pPr>
        <w:pStyle w:val="Heading1"/>
        <w:spacing w:after="160" w:before="280"/>
        <w:jc w:val="left"/>
      </w:pPr>
      <w:r>
        <w:rPr>
          <w:rFonts w:ascii="Times New Roman" w:cs="Times New Roman" w:eastAsia="Times New Roman" w:hAnsi="Times New Roman"/>
          <w:b/>
          <w:bCs/>
          <w:color w:val="000000"/>
          <w:sz w:val="24"/>
          <w:szCs w:val="24"/>
        </w:rPr>
        <w:t xml:space="preserve">8. Struktur Repositori dan Konvensi</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Struktur repositori disusun mengikuti pemisahan lapisan pada bagian dua agar tanggung jawab setiap anggota tim tidak saling bertabrakan.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426"/>
      </w:tblGrid>
      <w:tr>
        <w:trPr>
          <w:tblHeader/>
        </w:trPr>
        <w:tc>
          <w:tcPr>
            <w:tcW w:type="dxa" w:w="16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Direktori</w:t>
            </w:r>
          </w:p>
        </w:tc>
        <w:tc>
          <w:tcPr>
            <w:tcW w:type="dxa" w:w="50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Isi</w:t>
            </w:r>
          </w:p>
        </w:tc>
        <w:tc>
          <w:tcPr>
            <w:tcW w:type="dxa" w:w="2426"/>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Urutan Pengerjaan</w:t>
            </w:r>
          </w:p>
        </w:tc>
      </w:tr>
      <w:tr>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data</w:t>
            </w:r>
          </w:p>
        </w:tc>
        <w:tc>
          <w:tcPr>
            <w:tcW w:type="dxa" w:w="5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Klien Sectors, normalisasi bentuk data, dan mekanisme cache.</w:t>
            </w:r>
          </w:p>
        </w:tc>
        <w:tc>
          <w:tcPr>
            <w:tcW w:type="dxa" w:w="24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Pertama. Seluruh lapisan lain menunggu direktori ini selesai.</w:t>
            </w:r>
          </w:p>
        </w:tc>
      </w:tr>
      <w:tr>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analysis</w:t>
            </w:r>
          </w:p>
        </w:tc>
        <w:tc>
          <w:tcPr>
            <w:tcW w:type="dxa" w:w="5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Perhitungan skor, persentil, anomali, pola, dan indikator.</w:t>
            </w:r>
          </w:p>
        </w:tc>
        <w:tc>
          <w:tcPr>
            <w:tcW w:type="dxa" w:w="24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Kedua. Dikerjakan per fitur sesuai urutan prioritas.</w:t>
            </w:r>
          </w:p>
        </w:tc>
      </w:tr>
      <w:tr>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ui</w:t>
            </w:r>
          </w:p>
        </w:tc>
        <w:tc>
          <w:tcPr>
            <w:tcW w:type="dxa" w:w="5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Komponen antarmuka, grafik, dan halaman.</w:t>
            </w:r>
          </w:p>
        </w:tc>
        <w:tc>
          <w:tcPr>
            <w:tcW w:type="dxa" w:w="24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Ketiga. Menyusul tiap fitur analisis yang telah selesai.</w:t>
            </w:r>
          </w:p>
        </w:tc>
      </w:tr>
      <w:tr>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ai</w:t>
            </w:r>
          </w:p>
        </w:tc>
        <w:tc>
          <w:tcPr>
            <w:tcW w:type="dxa" w:w="5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Instruksi sistem, penyusunan konteks, dan pemanggilan penyedia AI.</w:t>
            </w:r>
          </w:p>
        </w:tc>
        <w:tc>
          <w:tcPr>
            <w:tcW w:type="dxa" w:w="24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Keempat. Membutuhkan keluaran analisis yang sudah stabil.</w:t>
            </w:r>
          </w:p>
        </w:tc>
      </w:tr>
      <w:tr>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docs</w:t>
            </w:r>
          </w:p>
        </w:tc>
        <w:tc>
          <w:tcPr>
            <w:tcW w:type="dxa" w:w="5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Dokumen PRD, spesifikasi teknis, dan kamus data.</w:t>
            </w:r>
          </w:p>
        </w:tc>
        <w:tc>
          <w:tcPr>
            <w:tcW w:type="dxa" w:w="24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Berjalan sepanjang periode build.</w:t>
            </w:r>
          </w:p>
        </w:tc>
      </w:tr>
    </w:tbl>
    <w:p>
      <w:pPr>
        <w:spacing w:after="120"/>
      </w:pP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Konvensi kerja yang ditetapkan adalah sebagai berikut. Penamaan berkas dan fungsi menggunakan bahasa Inggris agar konsisten dengan pustaka yang digunakan, sedangkan seluruh teks yang terlihat pengguna menggunakan bahasa Indonesia. Setiap perubahan pada logika perhitungan wajib disertai catatan singkat mengenai alasan perubahan, karena logika perhitungan merupakan inti nilai produk dan menjadi objek penilaian kedalaman teknis oleh juri.</w:t>
      </w:r>
    </w:p>
    <w:p>
      <w:pPr>
        <w:pStyle w:val="Heading1"/>
        <w:spacing w:after="160" w:before="280"/>
        <w:jc w:val="left"/>
      </w:pPr>
      <w:r>
        <w:rPr>
          <w:rFonts w:ascii="Times New Roman" w:cs="Times New Roman" w:eastAsia="Times New Roman" w:hAnsi="Times New Roman"/>
          <w:b/>
          <w:bCs/>
          <w:color w:val="000000"/>
          <w:sz w:val="24"/>
          <w:szCs w:val="24"/>
        </w:rPr>
        <w:t xml:space="preserve">9. Keamanan dan Penanganan Kredensial</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Seluruh kunci API, baik milik Sectors maupun penyedia AI generatif, disimpan pada berkas variabel lingkungan yang dikecualikan dari kontrol versi sejak commit pertama. Berkas contoh tanpa nilai asli disediakan di dalam repositori sebagai acuan.</w:t>
      </w:r>
    </w:p>
    <w:p>
      <w:pPr>
        <w:spacing w:after="120" w:line="276"/>
        <w:jc w:val="both"/>
      </w:pPr>
      <w:r>
        <w:rPr>
          <w:rFonts w:ascii="Times New Roman" w:cs="Times New Roman" w:eastAsia="Times New Roman" w:hAnsi="Times New Roman"/>
          <w:b/>
          <w:bCs/>
          <w:i w:val="false"/>
          <w:iCs w:val="false"/>
          <w:color w:val="000000"/>
          <w:sz w:val="24"/>
          <w:szCs w:val="24"/>
        </w:rPr>
        <w:t xml:space="preserve">Sebelum submission, seluruh riwayat commit wajib diperiksa untuk memastikan tidak ada kredensial yang pernah masuk ke repositori. Apabila kredensial terlanjur bocor, tindakan yang benar adalah mencabut dan mengganti kredensial terlebih dahulu, memberi tahu penyelenggara melalui kanal dukungan resmi, lalu mengirim commit yang hanya berisi penghapusan kredensial tersebut.</w:t>
      </w:r>
    </w:p>
    <w:p>
      <w:pPr>
        <w:pStyle w:val="Heading1"/>
        <w:spacing w:after="160" w:before="280"/>
        <w:jc w:val="left"/>
      </w:pPr>
      <w:r>
        <w:rPr>
          <w:rFonts w:ascii="Times New Roman" w:cs="Times New Roman" w:eastAsia="Times New Roman" w:hAnsi="Times New Roman"/>
          <w:b/>
          <w:bCs/>
          <w:color w:val="000000"/>
          <w:sz w:val="24"/>
          <w:szCs w:val="24"/>
        </w:rPr>
        <w:t xml:space="preserve">10. Rencana Pengujian</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Pengujian difokuskan pada hal-hal yang paling berisiko merusak demonstrasi maupun melanggar aturan kompetisi. Karena tidak ada anggota lain yang dapat memeriksa silang hasil kerja, pengujian terhadap daftar periksa tertulis menjadi satu-satunya pengaman terhadap kesalahan yang tidak disadari.</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Area</w:t>
            </w:r>
          </w:p>
        </w:tc>
        <w:tc>
          <w:tcPr>
            <w:tcW w:type="dxa" w:w="38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Yang Diuji</w:t>
            </w:r>
          </w:p>
        </w:tc>
        <w:tc>
          <w:tcPr>
            <w:tcW w:type="dxa" w:w="3426"/>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Kriteria Lulus</w:t>
            </w:r>
          </w:p>
        </w:tc>
      </w:tr>
      <w:tr>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Ketergantungan data</w:t>
            </w:r>
          </w:p>
        </w:tc>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Perilaku produk ketika sumber data Sectors dinonaktifkan.</w:t>
            </w:r>
          </w:p>
        </w:tc>
        <w:tc>
          <w:tcPr>
            <w:tcW w:type="dxa" w:w="34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Fungsi inti berhenti bekerja, membuktikan ketergantungan sesuai batasan B-01.</w:t>
            </w:r>
          </w:p>
        </w:tc>
      </w:tr>
      <w:tr>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Perhitungan</w:t>
            </w:r>
          </w:p>
        </w:tc>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Kebenaran skor, persentil, indikator, dan pola pada sampel data yang dihitung manual.</w:t>
            </w:r>
          </w:p>
        </w:tc>
        <w:tc>
          <w:tcPr>
            <w:tcW w:type="dxa" w:w="34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Hasil sistem sama dengan hasil perhitungan manual pada seluruh sampel.</w:t>
            </w:r>
          </w:p>
        </w:tc>
      </w:tr>
      <w:tr>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Data tidak lengkap</w:t>
            </w:r>
          </w:p>
        </w:tc>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Perilaku sistem pada emiten dengan data kosong atau sebagian.</w:t>
            </w:r>
          </w:p>
        </w:tc>
        <w:tc>
          <w:tcPr>
            <w:tcW w:type="dxa" w:w="34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Emiten ditandai sebagai data tidak memadai dan tidak diberi skor.</w:t>
            </w:r>
          </w:p>
        </w:tc>
      </w:tr>
      <w:tr>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Kepatuhan keluaran AI</w:t>
            </w:r>
          </w:p>
        </w:tc>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Respons terhadap daftar pertanyaan rawan anjuran investasi.</w:t>
            </w:r>
          </w:p>
        </w:tc>
        <w:tc>
          <w:tcPr>
            <w:tcW w:type="dxa" w:w="34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Tidak ada satu pun respons yang berisi anjuran tindakan atau perkiraan harga.</w:t>
            </w:r>
          </w:p>
        </w:tc>
      </w:tr>
      <w:tr>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Alur inti</w:t>
            </w:r>
          </w:p>
        </w:tc>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Perjalanan pengguna dari halaman awal sampai memahami satu emiten.</w:t>
            </w:r>
          </w:p>
        </w:tc>
        <w:tc>
          <w:tcPr>
            <w:tcW w:type="dxa" w:w="34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Alur berjalan tanpa kegagalan dan dapat direkam utuh dalam tiga menit.</w:t>
            </w:r>
          </w:p>
        </w:tc>
      </w:tr>
    </w:tbl>
    <w:p>
      <w:r>
        <w:t>Status verifikasi (diisi 4 September 2026): Area "Perhitungan" — dijalankan atas 4 emiten sub-sektor Banks (BBCA, BBHI, BCIC, AGRO), mencakup skor tertinggi, sedang, dan terendah dalam kelompok. Rasio mentah, persentil, dan skor komposit dihitung ulang secara independen (skrip Python terpisah dari score.ts, dari data mentah yang sama). Hasil: 3 dari 4 sama persis; 1 (AGRO) berbeda di desimal kedua (23.12 vs 23.13) karena nilai sebenarnya tepat di titik pembulatan (23.125) -- bukan kesalahan formula. LULUS. Ditemukan dan diperbaiki dalam proses ini: bug UI dengan sub-sektor kecil (Tobacco, 4 emiten) -- field groupSizeAdequate sudah dihitung backend tapi tidak pernah ditampilkan ke pengguna; sekarang ada peringatan eksplisit di halaman detail emiten dan screener saat kelompok pembanding di bawah ambang batas (5). Area "Data tidak lengkap" — tercakup dalam logika computeCompositeScore (status inadequate/partial), belum diuji manual dengan emiten nyata yang datanya kosong. Area "Kepatuhan keluaran AI" — 12 pertanyaan rawan LULUS dengan gemini-2.5-flash (direview manual); belum tuntas untuk gemini-3.5-flash-lite karena gangguan 503 Google (lihat entri terkait di bagian 11).</w:t>
      </w:r>
    </w:p>
    <w:p>
      <w:pPr>
        <w:pStyle w:val="Heading1"/>
        <w:spacing w:after="160" w:before="280"/>
        <w:jc w:val="left"/>
      </w:pPr>
      <w:r>
        <w:rPr>
          <w:rFonts w:ascii="Times New Roman" w:cs="Times New Roman" w:eastAsia="Times New Roman" w:hAnsi="Times New Roman"/>
          <w:b/>
          <w:bCs/>
          <w:color w:val="000000"/>
          <w:sz w:val="24"/>
          <w:szCs w:val="24"/>
        </w:rPr>
        <w:t xml:space="preserve">11. Catatan Keputusan Teknis</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Tabel berikut diisi selama pengembangan berjalan. Pencatatan keputusan penting karena juri menilai kedalaman teknis melalui pemeriksaan repositori, dan alasan di balik sebuah keputusan sering kali tidak terlihat dari kode saja.</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726"/>
      </w:tblGrid>
      <w:tr>
        <w:trPr>
          <w:tblHeader/>
        </w:trPr>
        <w:tc>
          <w:tcPr>
            <w:tcW w:type="dxa" w:w="15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Tanggal</w:t>
            </w:r>
          </w:p>
        </w:tc>
        <w:tc>
          <w:tcPr>
            <w:tcW w:type="dxa" w:w="38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Keputusan</w:t>
            </w:r>
          </w:p>
        </w:tc>
        <w:tc>
          <w:tcPr>
            <w:tcW w:type="dxa" w:w="3726"/>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Alasan</w:t>
            </w:r>
          </w:p>
        </w:tc>
      </w:tr>
      <w:tr>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4 September 2026</w:t>
            </w:r>
          </w:p>
        </w:tc>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Antarmuka memakai React.js (Vite + TypeScript).</w:t>
            </w:r>
          </w:p>
        </w:tc>
        <w:tc>
          <w:tcPr>
            <w:tcW w:type="dxa" w:w="37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Interaktif dan familiar untuk membangun dashboard/grafik/screener; Vite mempercepat iterasi pada waktu build yang terbatas.</w:t>
            </w:r>
          </w:p>
        </w:tc>
      </w:tr>
      <w:tr>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4 September 2026</w:t>
            </w:r>
          </w:p>
        </w:tc>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Lapisan analisis dan AI ditulis dalam Node.js + TypeScript (Express), bukan Python.</w:t>
            </w:r>
          </w:p>
        </w:tc>
        <w:tc>
          <w:tcPr>
            <w:tcW w:type="dxa" w:w="37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Satu bahasa dari frontend sampai backend menghindari context-switching untuk solo dev. Perhitungan yang dibutuhkan (skor, persentil, pola candlestick) adalah matematika sederhana, tidak butuh pandas/numpy. Alternatif Python ditolak karena biaya belajar dua bahasa sekaligus dalam waktu terbatas.</w:t>
            </w:r>
          </w:p>
        </w:tc>
      </w:tr>
      <w:tr>
        <w:tc>
          <w:tcPr>
            <w:tcW w:type="dxa" w:w="1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4 September 2026</w:t>
            </w:r>
          </w:p>
        </w:tc>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Penyedia AI generatif memakai Google AI Studio (Gemini API), model gemini-2.5-flash.</w:t>
            </w:r>
          </w:p>
        </w:tc>
        <w:tc>
          <w:tcPr>
            <w:tcW w:type="dxa" w:w="37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Free tier tersedia dan cukup untuk pengembangan/demo, menghemat anggaran di luar kredit Sectors. Diverifikasi terhubung dan mematuhi system instruction (tidak mengarang angka di luar konteks).</w:t>
            </w:r>
          </w:p>
        </w:tc>
      </w:tr>
      <w:tr>
        <w:tc>
          <w:tcPr>
            <w:tcW w:type="dxa" w:w="1500"/>
          </w:tcPr>
          <w:p>
            <w:r>
              <w:t>4 September 2026</w:t>
            </w:r>
          </w:p>
        </w:tc>
        <w:tc>
          <w:tcPr>
            <w:tcW w:type="dxa" w:w="3800"/>
          </w:tcPr>
          <w:p>
            <w:r>
              <w:t>Formula Skor Komposit Fundamental (F-01) ditetapkan: ROE 25%, Margin Laba Bersih 20%, DER 20% (arah dibalik, rendah=baik), Margin Arus Kas Operasional 20%, ROA 15%.</w:t>
            </w:r>
          </w:p>
        </w:tc>
        <w:tc>
          <w:tcPr>
            <w:tcW w:type="dxa" w:w="3726"/>
          </w:tcPr>
          <w:p>
            <w:r>
              <w:t>Kelima rasio diambil dari section financials.historical_financial_ratio Sectors API dan tersedia konsisten lintas sektor (termasuk perbankan). ROE diberi bobot terbesar karena paling umum dipakai investor pemula, diimbangi DER (risiko utang) dan margin arus kas (kualitas laba, sulit direkayasa dibanding laba akuntansi) supaya skor tidak menyesatkan investor yang hanya melihat profitabilitas. ROA diberi bobot lebih kecil karena sebagian besar informasinya sudah tercermin di ROE, namun tetap penting sebagai penyeimbang di sektor padat aset. Alternatif equal-weight (20% rata) ditolak karena kurang mencerminkan bahwa profitabilitas modal adalah sinyal terkuat.</w:t>
            </w:r>
          </w:p>
        </w:tc>
      </w:tr>
      <w:tr>
        <w:tc>
          <w:tcPr>
            <w:tcW w:type="dxa" w:w="1500"/>
          </w:tcPr>
          <w:p>
            <w:r>
              <w:t>4 September 2026</w:t>
            </w:r>
          </w:p>
        </w:tc>
        <w:tc>
          <w:tcPr>
            <w:tcW w:type="dxa" w:w="3800"/>
          </w:tcPr>
          <w:p>
            <w:r>
              <w:t>Normalisasi skor komposit memakai percentile rank dalam sub-sektor yang sama, bukan skala absolut.</w:t>
            </w:r>
          </w:p>
        </w:tc>
        <w:tc>
          <w:tcPr>
            <w:tcW w:type="dxa" w:w="3726"/>
          </w:tcPr>
          <w:p>
            <w:r>
              <w:t>Rentang wajar tiap rasio berbeda antar sektor (Tech Spec 5.1); percentile juga dipakai ulang oleh F-03 Perbandingan Peer sehingga logikanya tidak diduplikasi.</w:t>
            </w:r>
          </w:p>
        </w:tc>
      </w:tr>
      <w:tr>
        <w:tc>
          <w:tcPr>
            <w:tcW w:type="dxa" w:w="1500"/>
          </w:tcPr>
          <w:p>
            <w:r>
              <w:t>4 September 2026</w:t>
            </w:r>
          </w:p>
        </w:tc>
        <w:tc>
          <w:tcPr>
            <w:tcW w:type="dxa" w:w="3800"/>
          </w:tcPr>
          <w:p>
            <w:r>
              <w:t>Emiten kehilangan lebih dari 1 dari 5 komponen skor tidak diberi skor (ditandai data tidak memadai). Kehilangan tepat 1 komponen: skor dihitung dari 4 komponen dengan bobot dinormalisasi ulang secara proporsional, dan UI wajib menampilkan jumlah komponen yang dipakai.</w:t>
            </w:r>
          </w:p>
        </w:tc>
        <w:tc>
          <w:tcPr>
            <w:tcW w:type="dxa" w:w="3726"/>
          </w:tcPr>
          <w:p>
            <w:r>
              <w:t>Konsisten dengan aturan Tech Spec 5.1 bahwa skor dari data tidak lengkap dapat menyesatkan; menampilkan jumlah komponen menjaga transparansi asal-usul angka sesuai nilai tambah produk.</w:t>
            </w:r>
          </w:p>
        </w:tc>
      </w:tr>
      <w:tr>
        <w:tc>
          <w:tcPr>
            <w:tcW w:type="dxa" w:w="1500"/>
          </w:tcPr>
          <w:p>
            <w:r>
              <w:t>4 September 2026</w:t>
            </w:r>
          </w:p>
        </w:tc>
        <w:tc>
          <w:tcPr>
            <w:tcW w:type="dxa" w:w="3800"/>
          </w:tcPr>
          <w:p>
            <w:r>
              <w:t>F-04 memakai adaptasi Piotroski F-Score (6 dari 9 kriteria asli, perbandingan year-over-year) sebagai framework preset, bukan kriteria absolut ala Graham Defensive Investor.</w:t>
            </w:r>
          </w:p>
        </w:tc>
        <w:tc>
          <w:tcPr>
            <w:tcW w:type="dxa" w:w="3726"/>
          </w:tcPr>
          <w:p>
            <w:r>
              <w:t>Kriteria absolut (mis. DER &lt; 1) dikalibrasi untuk industri non-finansial dan akan salah mengklasifikasikan bank yang secara struktural leverage tinggi. Kriteria year-over-year (membaik/memburuk dibanding tahun lalu) lebih adil lintas sektor. 3 kriteria asli Piotroski dibuang karena bergantung pada field yang tidak konsisten tersedia di data Sectors lintas sektor (perubahan saham beredar, current ratio, gross margin).</w:t>
            </w:r>
          </w:p>
        </w:tc>
      </w:tr>
      <w:tr>
        <w:tc>
          <w:tcPr>
            <w:tcW w:type="dxa" w:w="1500"/>
          </w:tcPr>
          <w:p>
            <w:r>
              <w:t>4 September 2026</w:t>
            </w:r>
          </w:p>
        </w:tc>
        <w:tc>
          <w:tcPr>
            <w:tcW w:type="dxa" w:w="3800"/>
          </w:tcPr>
          <w:p>
            <w:r>
              <w:t>Tambahkan retry dengan backoff (maks 3 kali, delay 8s berkelipatan) pada geminiClient.ts untuk error 429.</w:t>
            </w:r>
          </w:p>
        </w:tc>
        <w:tc>
          <w:tcPr>
            <w:tcW w:type="dxa" w:w="3726"/>
          </w:tcPr>
          <w:p>
            <w:r>
              <w:t>Free tier gemini-2.5-flash dibatasi 5 request/menit -- ditemukan langsung saat menjalankan uji keamanan 12 pertanyaan rawan (npm run test:ai-safety). Tanpa retry, panel tanya jawab akan gagal total saat pengguna bertanya beberapa kali berturut-turut dalam waktu singkat.</w:t>
            </w:r>
          </w:p>
        </w:tc>
      </w:tr>
      <w:tr>
        <w:tc>
          <w:tcPr>
            <w:tcW w:type="dxa" w:w="1500"/>
          </w:tcPr>
          <w:p>
            <w:r>
              <w:t>4 September 2026</w:t>
            </w:r>
          </w:p>
        </w:tc>
        <w:tc>
          <w:tcPr>
            <w:tcW w:type="dxa" w:w="3800"/>
          </w:tcPr>
          <w:p>
            <w:r>
              <w:t>F-06 memakai ambang anomali z-score &gt; 2 standar deviasi (volume dan perubahan harga harian), baseline dari sebaran historis emiten itu sendiri (bukan dibanding emiten lain), minimal 10 hari data pembanding.</w:t>
            </w:r>
          </w:p>
        </w:tc>
        <w:tc>
          <w:tcPr>
            <w:tcW w:type="dxa" w:w="3726"/>
          </w:tcPr>
          <w:p>
            <w:r>
              <w:t>Ambang 2 standar deviasi adalah konvensi statistik umum dan mudah dijelaskan ke pengguna awam (kejadian di luar ~95% sebaran normal). Baseline dari data historis emiten sendiri dipilih karena volume wajar sangat berbeda antar emiten (blue chip vs saham tipis), sehingga ambang absolut lintas emiten tidak bermakna. Diverifikasi: BBCA (blue chip, stabil) tidak terdeteksi anomali; BBHI terdeteksi anomali volume (z=4.08) yang berimpit dengan berita pengumuman buyback saham riil.</w:t>
            </w:r>
          </w:p>
        </w:tc>
      </w:tr>
      <w:tr>
        <w:tc>
          <w:tcPr>
            <w:tcW w:type="dxa" w:w="1500"/>
          </w:tcPr>
          <w:p>
            <w:r>
              <w:t>4 September 2026</w:t>
            </w:r>
          </w:p>
        </w:tc>
        <w:tc>
          <w:tcPr>
            <w:tcW w:type="dxa" w:w="3800"/>
          </w:tcPr>
          <w:p>
            <w:r>
              <w:t>Ganti model AI generatif dari gemini-2.5-flash ke gemini-3.5-flash-lite, dan tambahkan timeout eksplisit 20 detik pada pemanggilan Gemini.</w:t>
            </w:r>
          </w:p>
        </w:tc>
        <w:tc>
          <w:tcPr>
            <w:tcW w:type="dxa" w:w="3726"/>
          </w:tcPr>
          <w:p>
            <w:r>
              <w:t>gemini-2.5-flash pada API key yang baru dibuat ternyata dibatasi 20 permintaan/HARI (jauh di bawah dokumentasi resmi 500-1500/hari -- kemungkinan kuota ramp-up untuk key baru), ditemukan langsung habis saat uji lanjutan setelah uji keamanan awal. gemini-2.5-flash-lite ternyata sudah dihentikan Google (pesan API mengarahkan ke gemini-3.5-flash-lite). Setelah pindah ke gemini-3.5-flash-lite, permintaan berhasil namun sempat menggantung beberapa menit tanpa error karena SDK @google/genai tidak punya timeout bawaan -- ditambahkan Promise.race 20 detik agar gagal cepat dan dapat di-retry, bukan menggantung permintaan pengguna tanpa batas. TINDAK LANJUT: jalankan ulang npm run test:ai-safety dengan model baru sebelum submission final untuk memastikan kepatuhan tidak berubah akibat model berbeda.</w:t>
            </w:r>
          </w:p>
        </w:tc>
      </w:tr>
      <w:tr>
        <w:tc>
          <w:tcPr>
            <w:tcW w:type="dxa" w:w="1500"/>
          </w:tcPr>
          <w:p>
            <w:r>
              <w:t>4 September 2026</w:t>
            </w:r>
          </w:p>
        </w:tc>
        <w:tc>
          <w:tcPr>
            <w:tcW w:type="dxa" w:w="3800"/>
          </w:tcPr>
          <w:p>
            <w:r>
              <w:t>Uji ulang npm run test:ai-safety dengan gemini-3.5-flash-lite BELUM tuntas -- 12/12 pertanyaan gagal dipanggil (503 UNAVAILABLE / high demand) meski sudah diperbesar timeout ke 30 detik dan retry ke 4 kali.</w:t>
            </w:r>
          </w:p>
        </w:tc>
        <w:tc>
          <w:tcPr>
            <w:tcW w:type="dxa" w:w="3726"/>
          </w:tcPr>
          <w:p>
            <w:r>
              <w:t>Google mengalami gangguan/permintaan tinggi meluas untuk model ini saat pengujian (bukan bug di sisi kami -- seluruh 12 pertanyaan gagal dengan error yang identik). Bukti kepatuhan yang tersedia: run penuh sebelumnya dengan gemini-2.5-flash (12/12 lolos, sudah direview manual) dan 2 spot-check dengan gemini-3.5-flash-lite yang berhasil sebelum gangguan dimulai (keduanya juga compliant). System instruction tidak berubah antar model. WAJIB: jalankan ulang npm run test:ai-safety sampai 12/12 berhasil dipanggil (bukan error) sebelum submission final.</w:t>
            </w:r>
          </w:p>
        </w:tc>
      </w:tr>
      <w:tr>
        <w:tc>
          <w:tcPr>
            <w:tcW w:type="dxa" w:w="1500"/>
          </w:tcPr>
          <w:p>
            <w:r>
              <w:t>4 September 2026</w:t>
            </w:r>
          </w:p>
        </w:tc>
        <w:tc>
          <w:tcPr>
            <w:tcW w:type="dxa" w:w="3800"/>
          </w:tcPr>
          <w:p>
            <w:r>
              <w:t>F-07 memakai library technicalindicators (bukan menulis ulang aturan pola sendiri) dan lightweight-charts (TradingView) untuk grafik candlestick di frontend.</w:t>
            </w:r>
          </w:p>
        </w:tc>
        <w:tc>
          <w:tcPr>
            <w:tcW w:type="dxa" w:w="3726"/>
          </w:tcPr>
          <w:p>
            <w:r>
              <w:t>Sesuai Tech Spec 5.4: waktu yang dihemat memakai pustaka baku lebih berharga daripada menulis ulang definisi pola yang sudah diakui luas. Fungsi bawaan library hanya mengevaluasi candle terakhir pada array yang diberikan, sehingga scan seluruh tanggal dilakukan dengan memanggil fungsi tersebut berulang atas potongan array yang bertambah (prefix growing window) -- pendekatan ini bekerja seragam untuk semua pola tanpa perlu tahu jumlah candle yang dibutuhkan tiap pola.</w:t>
            </w:r>
          </w:p>
        </w:tc>
      </w:tr>
      <w:tr>
        <w:tc>
          <w:tcPr>
            <w:tcW w:type="dxa" w:w="1500"/>
          </w:tcPr>
          <w:p>
            <w:r>
              <w:t>4 September 2026</w:t>
            </w:r>
          </w:p>
        </w:tc>
        <w:tc>
          <w:tcPr>
            <w:tcW w:type="dxa" w:w="3800"/>
          </w:tcPr>
          <w:p>
            <w:r>
              <w:t>F-09 (opsional) di-lazy-load di frontend -- baru dipanggil saat pengguna klik tombol, bukan otomatis saat halaman dibuka. Kandidat pembanding memakai kelompok peer F-03 yang sudah ada (bukan seluruh emiten).</w:t>
            </w:r>
          </w:p>
        </w:tc>
        <w:tc>
          <w:tcPr>
            <w:tcW w:type="dxa" w:w="3726"/>
          </w:tcPr>
          <w:p>
            <w:r>
              <w:t>F-09 termahal secara kredit di antara semua fitur (hingga 15 kredit baru per emiten yang belum pernah dilihat, karena tiap kandidat peer butuh data harga tersendiri) padahal statusnya paling rendah prioritas dan boleh dibatalkan. Memuat otomatis di setiap kunjungan halaman berisiko menghabiskan kuota tanpa disadari; lazy-load membuat biayanya sepenuhnya sengaja (pengguna/juri yang memilih melihatnya).</w:t>
            </w:r>
          </w:p>
        </w:tc>
      </w:tr>
      <w:tr>
        <w:tc>
          <w:tcPr>
            <w:tcW w:type="dxa" w:w="1500"/>
          </w:tcPr>
          <w:p>
            <w:r>
              <w:t>4 September 2026</w:t>
            </w:r>
          </w:p>
        </w:tc>
        <w:tc>
          <w:tcPr>
            <w:tcW w:type="dxa" w:w="3800"/>
          </w:tcPr>
          <w:p>
            <w:r>
              <w:t>Arah desain UI diputuskan padat-informasi (dense/data-rich) menyerupai TradingView/Sectors.app/IDX, bukan gaya minimalis, meski target pengguna PRD adalah investor pemula.</w:t>
            </w:r>
          </w:p>
        </w:tc>
        <w:tc>
          <w:tcPr>
            <w:tcW w:type="dxa" w:w="3726"/>
          </w:tcPr>
          <w:p>
            <w:r>
              <w:t>Terminal finansial secara konvensi memakai kepadatan tinggi karena pengguna ingin memindai banyak data sekaligus -- ini kredibel dan sesuai ekspektasi "alat pasar modal sungguhan". Kontradiksi dengan target pengguna pemula diselesaikan dengan memisahkan kepadatan VISUAL (tabel rapat, sparkline, warna, angka monospace) dari kepadatan JARGON: setiap istilah teknis tetap dijelaskan lewat kamus istilah dan panel AI Explainer (F-05) yang sudah ada, bukan dihilangkan. Ditambahkan: nav bar dengan pencarian simbol langsung, widget ringkasan pasar (IHSG, kapitalisasi total, top gainers/losers) di halaman utama, tabel screener diperapat dengan header kolom dan angka tabular.</w:t>
            </w:r>
          </w:p>
        </w:tc>
      </w:tr>
      <w:tr>
        <w:tc>
          <w:tcPr>
            <w:tcW w:type="dxa" w:w="1500"/>
          </w:tcPr>
          <w:p>
            <w:r>
              <w:t>4 September 2026</w:t>
            </w:r>
          </w:p>
        </w:tc>
        <w:tc>
          <w:tcPr>
            <w:tcW w:type="dxa" w:w="3800"/>
          </w:tcPr>
          <w:p>
            <w:r>
              <w:t>Nama produk ditetapkan: Stocket (dari "Stock" + akronim pasar/market). Identitas visual minimal: wordmark tipografi (font Space Grotesk) + satu bar geometris aksen, satu warna aksen (sky blue #0ea5e9) didefinisikan sebagai CSS variable/Tailwind theme token, footer 3 baris (disclaimer, atribusi sumber data Sectors, kredit pembuat + tautan repo).</w:t>
            </w:r>
          </w:p>
        </w:tc>
        <w:tc>
          <w:tcPr>
            <w:tcW w:type="dxa" w:w="3726"/>
          </w:tcPr>
          <w:p>
            <w:r>
              <w:t>Warna aksen sengaja dipilih beda dari hijau/merah yang sudah dipakai untuk arah skor dan perubahan harga, supaya identitas brand tidak tertukar makna dengan sinyal data. Tidak memakai ilustrasi/maskot/ikon custom sesuai permintaan -- murni tipografi, konsisten dengan arah desain padat-informasi ala terminal finansial.</w:t>
            </w:r>
          </w:p>
        </w:tc>
      </w:tr>
      <w:tr>
        <w:tc>
          <w:tcPr>
            <w:tcW w:type="dxa" w:w="1500"/>
          </w:tcPr>
          <w:p>
            <w:r>
              <w:t>4 September 2026</w:t>
            </w:r>
          </w:p>
        </w:tc>
        <w:tc>
          <w:tcPr>
            <w:tcW w:type="dxa" w:w="3800"/>
          </w:tcPr>
          <w:p>
            <w:r>
              <w:t>BUG DITEMUKAN &amp; DIPERBAIKI: groupSizeAdequate dihitung backend tapi tidak pernah ditampilkan ke pengguna -- sub-sektor kecil (mis. Tobacco, 4 emiten) menampilkan persentil tanpa peringatan bahwa kelompoknya tidak bermakna secara statistik.</w:t>
            </w:r>
          </w:p>
        </w:tc>
        <w:tc>
          <w:tcPr>
            <w:tcW w:type="dxa" w:w="3726"/>
          </w:tcPr>
          <w:p>
            <w:r>
              <w:t>Ditemukan lewat verifikasi manual sistematis (bukan sanity check), tepat seperti yang diwajibkan rencana pengujian bagian 10 tapi belum pernah benar-benar dijalankan sebelumnya. Diperbaiki dengan banner peringatan eksplisit di EmitenDetailPage dan ScreenerPage saat groupSize &lt; 5.</w:t>
            </w:r>
          </w:p>
        </w:tc>
      </w:tr>
      <w:tr>
        <w:tc>
          <w:tcPr>
            <w:tcW w:type="dxa" w:w="1500"/>
          </w:tcPr>
          <w:p>
            <w:r>
              <w:t>4 September 2026</w:t>
            </w:r>
          </w:p>
        </w:tc>
        <w:tc>
          <w:tcPr>
            <w:tcW w:type="dxa" w:w="3800"/>
          </w:tcPr>
          <w:p>
            <w:r>
              <w:t>Keputusan strategi: hentikan penambahan fitur baru (F-10+). Fokus sisa waktu ke verifikasi kebenaran, uji kepatuhan penuh, dan produksi video/narasi.</w:t>
            </w:r>
          </w:p>
        </w:tc>
        <w:tc>
          <w:tcPr>
            <w:tcW w:type="dxa" w:w="3726"/>
          </w:tcPr>
          <w:p>
            <w:r>
              <w:t>Bobot penilaian (40% kegunaan, 30% video, 30% kedalaman teknis) tidak memberi nilai untuk jumlah fitur. Dengan 9 fitur sudah berjalan, fitur ke-10+ berisiko mengubah kesan juri dari "lengkap untuk pemula" jadi "terlalu padat untuk pemula" -- bertentangan dengan positioning produk sendiri. Verifikasi kebenaran angka justru TIDAK ikut terkompresi oleh bantuan AI (perlu dihitung ulang manual/independen), sehingga ini risiko nyata yang belum tertutup meski development sudah jauh di depan jadwal.</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rPr>
        <w:rFonts w:ascii="Times New Roman" w:cs="Times New Roman" w:eastAsia="Times New Roman" w:hAnsi="Times New Roman"/>
        <w:color w:val="000000"/>
        <w:sz w:val="24"/>
        <w:szCs w:val="24"/>
      </w:rPr>
    </w:lvl>
    <w:lvl w:ilvl="1" w15:tentative="1">
      <w:start w:val="1"/>
      <w:numFmt w:val="bullet"/>
      <w:lvlText w:val="◦"/>
      <w:lvlJc w:val="left"/>
      <w:pPr>
        <w:ind w:left="1440" w:hanging="260"/>
      </w:pPr>
      <w:rPr>
        <w:rFonts w:ascii="Times New Roman" w:cs="Times New Roman" w:eastAsia="Times New Roman" w:hAnsi="Times New Roman"/>
        <w:color w:val="000000"/>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sz w:val="24"/>
        <w:szCs w:val="2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2026-09-04T04:15:44.640Z</dcterms:created>
  <dcterms:modified xsi:type="dcterms:W3CDTF">2026-09-04T04:15:44.640Z</dcterms:modified>
</cp:coreProperties>
</file>

<file path=docProps/custom.xml><?xml version="1.0" encoding="utf-8"?>
<Properties xmlns="http://schemas.openxmlformats.org/officeDocument/2006/custom-properties" xmlns:vt="http://schemas.openxmlformats.org/officeDocument/2006/docPropsVTypes"/>
</file>