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pemeriksaan emiten terhadap kriteria kerangka investasi klasik yang dipilih pengguna.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bahwa nilai volume atau harga terkini menyimpang melampaui ambang tertentu dari sebaran historisnya.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keberadaan pola candlestick tertentu pada suatu tanggal, beserta kategori pola tersebut.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rata-rata bergerak dan indeks kekuatan relatif pada suatu tanggal.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