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MA10 dan MA20 (rata-rata penutupan 10/20 hari) serta RSI14 (indeks kekuatan relatif 14 hari), dihitung via library technicalindicators dari data harga yang sama dengan F-06/F-07 (tidak ada panggilan data baru). Digambar pada grafik yang sama dengan candlestick, RSI pada panel terpisah karena skalanya 0-100.</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Pr>
          <w:p>
            <w:r>
              <w:t>D-09</w:t>
            </w:r>
          </w:p>
        </w:tc>
        <w:tc>
          <w:tcPr>
            <w:tcW w:type="dxa" w:w="2124"/>
          </w:tcPr>
          <w:p>
            <w:r>
              <w:t>Kemiripan Pola Lintas Saham</w:t>
            </w:r>
          </w:p>
        </w:tc>
        <w:tc>
          <w:tcPr>
            <w:tcW w:type="dxa" w:w="4672"/>
          </w:tcPr>
          <w:p>
            <w:r>
              <w:t>Skor kemiripan (0-1) antara bentuk pergerakan harga 20 hari terakhir emiten dengan window 20 hari pada emiten lain di sub-sektor sama (jarak Euclidean atas harga ternormalisasi), beserta perubahan harga N hari setelah window pembanding tersebut. Fitur opsional (F-09/P4), disajikan sebagai laporan historis dengan peringatan eksplisit bahwa kemiripan masa lalu tidak menjamin pengulangan.</w:t>
            </w:r>
          </w:p>
        </w:tc>
        <w:tc>
          <w:tcPr>
            <w:tcW w:type="dxa" w:w="1380"/>
          </w:tcPr>
          <w:p>
            <w:r>
              <w:t>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F-08 (MA10/MA20 + RSI14)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F-09 (kemiripan pola lintas saham) -- uji dengan 10 kandidat peer Banks</w:t>
            </w:r>
          </w:p>
        </w:tc>
        <w:tc>
          <w:tcPr>
            <w:tcW w:type="dxa" w:w="1600"/>
          </w:tcPr>
          <w:p>
            <w:r>
              <w:t>~1</w:t>
            </w:r>
          </w:p>
        </w:tc>
        <w:tc>
          <w:tcPr>
            <w:tcW w:type="dxa" w:w="1626"/>
          </w:tcPr>
          <w:p>
            <w:r>
              <w:t>~946</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