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24"/>
          <w:szCs w:val="24"/>
        </w:rPr>
        <w:t xml:space="preserve">PRODUCT REQUIREMENT DOCUMENT (PRD)</w:t>
      </w:r>
    </w:p>
    <w:p>
      <w:pPr>
        <w:spacing w:after="80"/>
        <w:jc w:val="center"/>
      </w:pPr>
      <w:r>
        <w:rPr>
          <w:rFonts w:ascii="Times New Roman" w:cs="Times New Roman" w:eastAsia="Times New Roman" w:hAnsi="Times New Roman"/>
          <w:b/>
          <w:bCs/>
          <w:color w:val="000000"/>
          <w:sz w:val="24"/>
          <w:szCs w:val="24"/>
        </w:rPr>
        <w:t xml:space="preserve">Sectors Hackathon 2026 — Track 3 Market Intelligence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Field</w:t>
            </w:r>
          </w:p>
        </w:tc>
        <w:tc>
          <w:tcPr>
            <w:tcW w:type="dxa" w:w="68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Keterangan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Kode Dokumen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PRD-SH2026-001</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Versi</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1.1</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Tanggal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6 September 2026</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Status</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Aktif — dikunci; perubahan ruang lingkup dicatat sebagai adendum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Pemilik Dokumen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Nick Wilsan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Kompetisi</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Sectors Hackathon 2026, Track 3 — Market Intelligence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Deadline Submit</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30 September 2026, 23:59 WIB</w:t>
            </w:r>
          </w:p>
        </w:tc>
      </w:tr>
    </w:tbl>
    <w:p>
      <w:pPr>
        <w:spacing w:after="120"/>
      </w:pPr>
    </w:p>
    <w:p>
      <w:pPr>
        <w:pStyle w:val="Heading1"/>
        <w:spacing w:after="160" w:before="280"/>
        <w:jc w:val="left"/>
      </w:pPr>
      <w:r>
        <w:rPr>
          <w:rFonts w:ascii="Times New Roman" w:cs="Times New Roman" w:eastAsia="Times New Roman" w:hAnsi="Times New Roman"/>
          <w:b/>
          <w:bCs/>
          <w:color w:val="000000"/>
          <w:sz w:val="24"/>
          <w:szCs w:val="24"/>
        </w:rPr>
        <w:t xml:space="preserve">1. Latar Belakang</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Pasar modal Indonesia menyediakan data yang sangat melimpah, mulai dari harga historis, laporan keuangan, rasio fundamental, hingga aksi korporasi. Namun ketersediaan data tidak sama dengan keterpahaman data. Bagi investor pemula, membuka platform data pasar untuk pertama kali sering kali menghasilkan kebingungan alih-alih pemahaman, karena hampir seluruh informasi disajikan dalam bentuk mentah dan mengasumsikan pengguna sudah menguasai terminologi keuangan.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Aplikasi yang tersedia di pasar saat ini umumnya sudah sangat baik dalam menampilkan data, tetapi beban interpretasi tetap sepenuhnya berada di tangan pengguna. Pengguna harus tahu sendiri rasio mana yang penting, berapa angka yang dianggap sehat, dan bagaimana membandingkan satu perusahaan dengan perusahaan sejenis. Celah inilah yang menjadi dasar produk ini.</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Produk ini diposisikan sebagai lapisan penerjemah antara data mentah dan pemahaman pengguna. Produk tidak berusaha menjadi platform investasi serba lengkap, melainkan fokus menyelesaikan satu masalah secara tuntas, yaitu mengubah data pasar menjadi insight yang dapat langsung dipahami oleh pengguna pemula.</w:t>
      </w:r>
    </w:p>
    <w:p>
      <w:pPr>
        <w:pStyle w:val="Heading1"/>
        <w:spacing w:after="160" w:before="280"/>
        <w:jc w:val="left"/>
      </w:pPr>
      <w:r>
        <w:rPr>
          <w:rFonts w:ascii="Times New Roman" w:cs="Times New Roman" w:eastAsia="Times New Roman" w:hAnsi="Times New Roman"/>
          <w:b/>
          <w:bCs/>
          <w:color w:val="000000"/>
          <w:sz w:val="24"/>
          <w:szCs w:val="24"/>
        </w:rPr>
        <w:t xml:space="preserve">2. Pernyataan Masalah</w:t>
      </w:r>
    </w:p>
    <w:p>
      <w:pPr>
        <w:spacing w:after="120" w:line="276"/>
        <w:jc w:val="both"/>
      </w:pPr>
      <w:r>
        <w:rPr>
          <w:rFonts w:ascii="Times New Roman" w:cs="Times New Roman" w:eastAsia="Times New Roman" w:hAnsi="Times New Roman"/>
          <w:b/>
          <w:bCs/>
          <w:i w:val="false"/>
          <w:iCs w:val="false"/>
          <w:color w:val="000000"/>
          <w:sz w:val="24"/>
          <w:szCs w:val="24"/>
        </w:rPr>
        <w:t xml:space="preserve">Investor pemula kewalahan menginterpretasikan data mentah pasar saham Indonesia. Produk ini mengubah data tersebut menjadi skor, perbandingan, dan penjelasan yang dapat langsung dipahami, dilengkapi lapisan AI yang menjelaskan konteks di balik setiap angka.</w:t>
      </w:r>
    </w:p>
    <w:p>
      <w:pPr>
        <w:pStyle w:val="Heading1"/>
        <w:spacing w:after="160" w:before="280"/>
        <w:jc w:val="left"/>
      </w:pPr>
      <w:r>
        <w:rPr>
          <w:rFonts w:ascii="Times New Roman" w:cs="Times New Roman" w:eastAsia="Times New Roman" w:hAnsi="Times New Roman"/>
          <w:b/>
          <w:bCs/>
          <w:color w:val="000000"/>
          <w:sz w:val="24"/>
          <w:szCs w:val="24"/>
        </w:rPr>
        <w:t xml:space="preserve">3. Target Pengguna</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Pengguna utama produk ini adalah investor ritel pemula di Indonesia yang baru mulai mempelajari pasar modal, sudah memiliki minat untuk berinvestasi, namun belum memiliki kerangka analisis untuk membaca data keuangan secara mandiri. Karakteristik utamanya adalah sebagai berikut.</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Belum menguasai terminologi keuangan seperti ROE, DER, atau margin laba, sehingga membutuhkan penjelasan kontekstual, bukan sekadar angka.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Membutuhkan pembanding untuk menilai apakah suatu angka tergolong baik atau buruk, karena angka tunggal tanpa konteks tidak bermakna.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Rentan mengambil keputusan berdasarkan opini pihak lain karena tidak memiliki alat bantu analisis mandiri.</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Pengguna sekunder adalah investor menengah yang ingin mempercepat proses penyaringan awal perusahaan sebelum melakukan analisis mendalam secara manual.</w:t>
      </w:r>
    </w:p>
    <w:p>
      <w:pPr>
        <w:pStyle w:val="Heading1"/>
        <w:spacing w:after="160" w:before="280"/>
        <w:jc w:val="left"/>
      </w:pPr>
      <w:r>
        <w:rPr>
          <w:rFonts w:ascii="Times New Roman" w:cs="Times New Roman" w:eastAsia="Times New Roman" w:hAnsi="Times New Roman"/>
          <w:b/>
          <w:bCs/>
          <w:color w:val="000000"/>
          <w:sz w:val="24"/>
          <w:szCs w:val="24"/>
        </w:rPr>
        <w:t xml:space="preserve">4. Tujuan Produk</w:t>
      </w:r>
    </w:p>
    <w:p>
      <w:pPr>
        <w:pStyle w:val="Heading2"/>
        <w:spacing w:after="120" w:before="220"/>
        <w:jc w:val="left"/>
      </w:pPr>
      <w:r>
        <w:rPr>
          <w:rFonts w:ascii="Times New Roman" w:cs="Times New Roman" w:eastAsia="Times New Roman" w:hAnsi="Times New Roman"/>
          <w:b/>
          <w:bCs/>
          <w:color w:val="000000"/>
          <w:sz w:val="24"/>
          <w:szCs w:val="24"/>
        </w:rPr>
        <w:t xml:space="preserve">4.1 Tujuan</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Mengubah data fundamental mentah dari Sectors menjadi skor komposit yang mudah dibaca dan dapat diperingkat.</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Menyediakan konteks pembanding sehingga pengguna memahami posisi relatif suatu perusahaan terhadap perusahaan sejenis.</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Menyediakan penjelasan berbahasa awam atas setiap istilah dan setiap angka yang ditampilkan produk.</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Menyajikan sinyal teknikal dan anomali pasar sebagai informasi faktual yang telah diklasifikasikan, bukan sebagai prediksi.</w:t>
      </w:r>
    </w:p>
    <w:p>
      <w:pPr>
        <w:pStyle w:val="Heading2"/>
        <w:spacing w:after="120" w:before="220"/>
        <w:jc w:val="left"/>
      </w:pPr>
      <w:r>
        <w:rPr>
          <w:rFonts w:ascii="Times New Roman" w:cs="Times New Roman" w:eastAsia="Times New Roman" w:hAnsi="Times New Roman"/>
          <w:b/>
          <w:bCs/>
          <w:color w:val="000000"/>
          <w:sz w:val="24"/>
          <w:szCs w:val="24"/>
        </w:rPr>
        <w:t xml:space="preserve">4.2 Bukan Tujuan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Bagian ini penting untuk menjaga fokus pengembangan dalam waktu yang sangat terbatas. Produk ini secara eksplisit tidak bertujuan untuk hal-hal berikut.</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Menjadi platform transaksi. Produk tidak melakukan, meneruskan, atau mengotomasi order beli maupun jual dalam bentuk apa pun.</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Memberikan rekomendasi investasi. Produk tidak menyatakan saham mana yang sebaiknya dibeli atau dijual, dan tidak menyatakan probabilitas pergerakan harga.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Menjadi media sosial, forum diskusi, manajemen portofolio, atau agregator berita umum.</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Menggantikan platform data yang sudah ada. Produk melengkapi dengan lapisan interpretasi, bukan menduplikasi fungsi penyajian data.</w:t>
      </w:r>
    </w:p>
    <w:p>
      <w:pPr>
        <w:pStyle w:val="Heading1"/>
        <w:spacing w:after="160" w:before="280"/>
        <w:jc w:val="left"/>
      </w:pPr>
      <w:r>
        <w:rPr>
          <w:rFonts w:ascii="Times New Roman" w:cs="Times New Roman" w:eastAsia="Times New Roman" w:hAnsi="Times New Roman"/>
          <w:b/>
          <w:bCs/>
          <w:color w:val="000000"/>
          <w:sz w:val="24"/>
          <w:szCs w:val="24"/>
        </w:rPr>
        <w:t xml:space="preserve">5. Ruang Lingkup Fitur</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Fitur dibagi menjadi dua kategori. Kategori inti wajib berfungsi penuh sebelum submission, sedangkan kategori tambahan hanya dikerjakan apabila waktu masih memungkinkan dan dapat dibatalkan tanpa merusak nilai produk.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5"/>
        <w:gridCol w:w="4923"/>
        <w:gridCol w:w="1407"/>
        <w:gridCol w:w="1641"/>
      </w:tblGrid>
      <w:tr>
        <w:trPr>
          <w:tblHeader/>
        </w:trPr>
        <w:tc>
          <w:tcPr>
            <w:tcW w:type="dxa" w:w="1055"/>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Kode</w:t>
            </w:r>
          </w:p>
        </w:tc>
        <w:tc>
          <w:tcPr>
            <w:tcW w:type="dxa" w:w="4923"/>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Nama Fitur</w:t>
            </w:r>
          </w:p>
        </w:tc>
        <w:tc>
          <w:tcPr>
            <w:tcW w:type="dxa" w:w="1407"/>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Prioritas</w:t>
            </w:r>
          </w:p>
        </w:tc>
        <w:tc>
          <w:tcPr>
            <w:tcW w:type="dxa" w:w="1641"/>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Kategori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F-01</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Mesin Skor Fundamental Komposit</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P1</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F-02</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Screener dengan Logika Kustom</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P1</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F-03</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Perbandingan Peer dan Sektor</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P1</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F-04</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Framework Investasi Preset</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P2</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F-05</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AI Contextual Explainer</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P2</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F-06</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Deteksi Anomali dan Berita Terkait</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P2</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F-07</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Pengenalan Pola Candlestick</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P3</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F-08</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Indikator Teknikal (MA dan RSI)</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P3</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Inti</w:t>
            </w:r>
          </w:p>
        </w:tc>
      </w:tr>
      <w:tr>
        <w:tc>
          <w:tcPr>
            <w:tcW w:type="dxa" w:w="1055"/>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F-09</w:t>
            </w:r>
          </w:p>
        </w:tc>
        <w:tc>
          <w:tcPr>
            <w:tcW w:type="dxa" w:w="492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Pattern Similarity Lintas Saham</w:t>
            </w:r>
          </w:p>
        </w:tc>
        <w:tc>
          <w:tcPr>
            <w:tcW w:type="dxa" w:w="14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P4</w:t>
            </w:r>
          </w:p>
        </w:tc>
        <w:tc>
          <w:tcPr>
            <w:tcW w:type="dxa" w:w="1641"/>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Tambahan</w:t>
            </w:r>
          </w:p>
        </w:tc>
      </w:tr>
    </w:tbl>
    <w:p>
      <w:pPr>
        <w:spacing w:after="120"/>
      </w:pPr>
    </w:p>
    <w:p>
      <w:pPr>
        <w:pStyle w:val="Heading2"/>
        <w:spacing w:after="120" w:before="220"/>
        <w:jc w:val="left"/>
      </w:pPr>
      <w:r>
        <w:rPr>
          <w:rFonts w:ascii="Times New Roman" w:cs="Times New Roman" w:eastAsia="Times New Roman" w:hAnsi="Times New Roman"/>
          <w:b/>
          <w:bCs/>
          <w:color w:val="000000"/>
          <w:sz w:val="24"/>
          <w:szCs w:val="24"/>
        </w:rPr>
        <w:t xml:space="preserve">5.1 F-01 Mesin Skor Fundamental Komposit</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menghitung skor komposit dengan rentang nol sampai seratus untuk setiap emiten berdasarkan sekumpulan rasio fundamental yang diambil dari Sectors. Skor disusun dari beberapa komponen dengan bobot yang ditentukan tim, dan setiap komponen tetap dapat dilihat secara terpisah agar pengguna memahami asal-usul angkanya.</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skor berhasil dihitung untuk seluruh emiten yang datanya tersedia, komponen penyusun skor dapat ditampilkan, dan emiten dengan data tidak lengkap ditandai secara eksplisit alih-alih diberi skor yang menyesatkan.</w:t>
      </w:r>
    </w:p>
    <w:p>
      <w:pPr>
        <w:pStyle w:val="Heading2"/>
        <w:spacing w:after="120" w:before="220"/>
        <w:jc w:val="left"/>
      </w:pPr>
      <w:r>
        <w:rPr>
          <w:rFonts w:ascii="Times New Roman" w:cs="Times New Roman" w:eastAsia="Times New Roman" w:hAnsi="Times New Roman"/>
          <w:b/>
          <w:bCs/>
          <w:color w:val="000000"/>
          <w:sz w:val="24"/>
          <w:szCs w:val="24"/>
        </w:rPr>
        <w:t xml:space="preserve">5.2 F-02 Screener dengan Logika Kustom</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Pengguna dapat menyaring dan mengurutkan emiten berdasarkan skor komposit maupun komponen penyusunnya, dengan filter tambahan berupa sektor, sub-sektor, dan rentang nilai rasio tertentu. Logika penyaringan merupakan logika milik tim, bukan sekadar meneruskan parameter mentah ke sumber data.</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pengguna dapat menghasilkan daftar peringkat emiten dari kombinasi filter, dan hasil penyaringan konsisten dengan skor yang ditampilkan pada halaman detail emiten.</w:t>
      </w:r>
    </w:p>
    <w:p>
      <w:pPr>
        <w:pStyle w:val="Heading2"/>
        <w:spacing w:after="120" w:before="220"/>
        <w:jc w:val="left"/>
      </w:pPr>
      <w:r>
        <w:rPr>
          <w:rFonts w:ascii="Times New Roman" w:cs="Times New Roman" w:eastAsia="Times New Roman" w:hAnsi="Times New Roman"/>
          <w:b/>
          <w:bCs/>
          <w:color w:val="000000"/>
          <w:sz w:val="24"/>
          <w:szCs w:val="24"/>
        </w:rPr>
        <w:t xml:space="preserve">5.3 F-03 Perbandingan Peer dan Sektor</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Untuk setiap emiten, sistem menentukan kelompok pembanding berdasarkan kesamaan sub-sektor, lalu menghitung posisi persentil emiten tersebut pada beberapa metrik sekaligus. Hasilnya disajikan sebagai posisi relatif, misalnya keterangan bahwa suatu emiten berada pada persentil tertentu untuk margin laba dibandingkan sejumlah emiten sejenis.</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kelompok pembanding terbentuk otomatis, jumlah anggota kelompok ditampilkan, dan posisi persentil dihitung untuk minimal tiga metrik berbeda.</w:t>
      </w:r>
    </w:p>
    <w:p>
      <w:pPr>
        <w:pStyle w:val="Heading2"/>
        <w:spacing w:after="120" w:before="220"/>
        <w:jc w:val="left"/>
      </w:pPr>
      <w:r>
        <w:rPr>
          <w:rFonts w:ascii="Times New Roman" w:cs="Times New Roman" w:eastAsia="Times New Roman" w:hAnsi="Times New Roman"/>
          <w:b/>
          <w:bCs/>
          <w:color w:val="000000"/>
          <w:sz w:val="24"/>
          <w:szCs w:val="24"/>
        </w:rPr>
        <w:t xml:space="preserve">5.4 F-04 Framework Investasi Preset</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menyediakan satu sampai dua kerangka penilaian klasik yang dapat diaktifkan pengguna melalui pilihan tertutup. Kerangka ini menampilkan klasifikasi objektif berdasarkan kriteria yang telah dipublikasikan secara luas, tanpa menyimpulkan tindakan yang harus diambil pengguna.</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minimal satu kerangka berfungsi penuh, kriteria perhitungannya terdokumentasi di dalam produk, dan hasil ditampilkan sebagai klasifikasi terhadap kriteria, bukan sebagai anjuran.</w:t>
      </w:r>
    </w:p>
    <w:p>
      <w:pPr>
        <w:pStyle w:val="Heading2"/>
        <w:spacing w:after="120" w:before="220"/>
        <w:jc w:val="left"/>
      </w:pPr>
      <w:r>
        <w:rPr>
          <w:rFonts w:ascii="Times New Roman" w:cs="Times New Roman" w:eastAsia="Times New Roman" w:hAnsi="Times New Roman"/>
          <w:b/>
          <w:bCs/>
          <w:color w:val="000000"/>
          <w:sz w:val="24"/>
          <w:szCs w:val="24"/>
        </w:rPr>
        <w:t xml:space="preserve">5.5 F-05 AI Contextual Explainer</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Lapisan AI bertugas menjelaskan istilah teknis dan alasan di balik skor yang sedang dilihat pengguna. Seluruh jawaban AI harus berpijak pada data yang telah dihitung sistem dan sedang ditampilkan di layar, bukan pada pengetahuan umum yang tidak terverifikasi.</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pengguna dapat memperoleh penjelasan untuk minimal setiap istilah yang muncul di antarmuka dan untuk setiap komponen skor, dengan jawaban yang merujuk angka nyata dari data Sectors.</w:t>
      </w:r>
    </w:p>
    <w:p>
      <w:pPr>
        <w:pStyle w:val="Heading2"/>
        <w:spacing w:after="120" w:before="220"/>
        <w:jc w:val="left"/>
      </w:pPr>
      <w:r>
        <w:rPr>
          <w:rFonts w:ascii="Times New Roman" w:cs="Times New Roman" w:eastAsia="Times New Roman" w:hAnsi="Times New Roman"/>
          <w:b/>
          <w:bCs/>
          <w:color w:val="000000"/>
          <w:sz w:val="24"/>
          <w:szCs w:val="24"/>
        </w:rPr>
        <w:t xml:space="preserve">5.6 F-06 Deteksi Anomali dan Berita Terkait</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mendeteksi perilaku tidak biasa pada volume maupun harga dengan membandingkan nilai terkini terhadap sebaran nilai historis emiten yang bersangkutan. Ketika anomali terdeteksi, sistem menampilkan berita yang berkaitan dengan emiten tersebut sebagai konteks tambahan.</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ambang batas anomali terdokumentasi dan dapat dijelaskan, anomali ditampilkan sebagai pernyataan faktual berbasis statistik, dan keterkaitan berita disajikan sebagai kemungkinan konteks tanpa menyatakan hubungan sebab akibat yang pasti.</w:t>
      </w:r>
    </w:p>
    <w:p>
      <w:pPr>
        <w:pStyle w:val="Heading2"/>
        <w:spacing w:after="120" w:before="220"/>
        <w:jc w:val="left"/>
      </w:pPr>
      <w:r>
        <w:rPr>
          <w:rFonts w:ascii="Times New Roman" w:cs="Times New Roman" w:eastAsia="Times New Roman" w:hAnsi="Times New Roman"/>
          <w:b/>
          <w:bCs/>
          <w:color w:val="000000"/>
          <w:sz w:val="24"/>
          <w:szCs w:val="24"/>
        </w:rPr>
        <w:t xml:space="preserve">5.7 F-07 Pengenalan Pola Candlestick</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mendeteksi pola candlestick secara otomatis dari data harga pembukaan, tertinggi, terendah, dan penutupan, lalu menandainya pada grafik harga. Pengguna dapat menyaring tampilan berdasarkan pola tertentu atau berdasarkan kategori pola.</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minimal delapan pola terdeteksi dengan benar, penanda muncul pada posisi yang tepat di grafik, dan setiap pola disertai penjelasan definisi serta peringatan bahwa keandalan pola bervariasi.</w:t>
      </w:r>
    </w:p>
    <w:p>
      <w:pPr>
        <w:pStyle w:val="Heading2"/>
        <w:spacing w:after="120" w:before="220"/>
        <w:jc w:val="left"/>
      </w:pPr>
      <w:r>
        <w:rPr>
          <w:rFonts w:ascii="Times New Roman" w:cs="Times New Roman" w:eastAsia="Times New Roman" w:hAnsi="Times New Roman"/>
          <w:b/>
          <w:bCs/>
          <w:color w:val="000000"/>
          <w:sz w:val="24"/>
          <w:szCs w:val="24"/>
        </w:rPr>
        <w:t xml:space="preserve">5.8 F-08 Indikator Teknikal</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menghitung dan menampilkan indikator teknikal dasar berupa rata-rata bergerak dan indeks kekuatan relatif sebagai pelengkap pengenalan pola candlestick. Kedua indikator menggunakan sumber data yang sama sehingga tidak menambah beban pengambilan data.</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indikator terhitung benar dan tergambar pada grafik yang sama dengan data harga, disertai penjelasan cara membaca masing-masing indikator.</w:t>
      </w:r>
    </w:p>
    <w:p>
      <w:pPr>
        <w:pStyle w:val="Heading2"/>
        <w:spacing w:after="120" w:before="220"/>
        <w:jc w:val="left"/>
      </w:pPr>
      <w:r>
        <w:rPr>
          <w:rFonts w:ascii="Times New Roman" w:cs="Times New Roman" w:eastAsia="Times New Roman" w:hAnsi="Times New Roman"/>
          <w:b/>
          <w:bCs/>
          <w:color w:val="000000"/>
          <w:sz w:val="24"/>
          <w:szCs w:val="24"/>
        </w:rPr>
        <w:t xml:space="preserve">5.9 F-09 Pattern Similarity Lintas Saham (Tambahan)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membandingkan pola pergerakan harga terkini suatu emiten dengan periode historis pada emiten lain, lalu melaporkan periode dengan tingkat kemiripan tertinggi beserta apa yang terjadi setelah periode tersebut. Fitur ini bersifat opsional dan dapat dibatalkan tanpa memengaruhi kelengkapan produk.</w:t>
      </w:r>
    </w:p>
    <w:p>
      <w:pPr>
        <w:spacing w:after="120" w:line="276"/>
        <w:jc w:val="both"/>
      </w:pPr>
      <w:r>
        <w:rPr>
          <w:rFonts w:ascii="Times New Roman" w:cs="Times New Roman" w:eastAsia="Times New Roman" w:hAnsi="Times New Roman"/>
          <w:b/>
          <w:bCs/>
          <w:i w:val="false"/>
          <w:iCs w:val="false"/>
          <w:color w:val="000000"/>
          <w:sz w:val="24"/>
          <w:szCs w:val="24"/>
        </w:rPr>
        <w:t xml:space="preserve">Kriteria selesai: hasil disajikan murni sebagai laporan historis dengan peringatan eksplisit bahwa kemiripan pola masa lalu tidak menjamin terulangnya pergerakan yang sama.</w:t>
      </w:r>
    </w:p>
    <w:p>
      <w:pPr>
        <w:pStyle w:val="Heading1"/>
        <w:spacing w:after="160" w:before="280"/>
        <w:jc w:val="left"/>
      </w:pPr>
      <w:r>
        <w:rPr>
          <w:rFonts w:ascii="Times New Roman" w:cs="Times New Roman" w:eastAsia="Times New Roman" w:hAnsi="Times New Roman"/>
          <w:b/>
          <w:bCs/>
          <w:color w:val="000000"/>
          <w:sz w:val="24"/>
          <w:szCs w:val="24"/>
        </w:rPr>
        <w:t xml:space="preserve">6. Batasan dan Aturan Kepatuhan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Seluruh batasan berikut bersifat mengikat dan harus diperiksa ulang pada setiap iterasi pengembangan, karena pelanggaran terhadapnya dapat menyebabkan diskualifikasi maupun risiko hukum.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626"/>
      </w:tblGrid>
      <w:tr>
        <w:trPr>
          <w:tblHeader/>
        </w:trPr>
        <w:tc>
          <w:tcPr>
            <w:tcW w:type="dxa" w:w="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Kode</w:t>
            </w:r>
          </w:p>
        </w:tc>
        <w:tc>
          <w:tcPr>
            <w:tcW w:type="dxa" w:w="46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Batasan</w:t>
            </w:r>
          </w:p>
        </w:tc>
        <w:tc>
          <w:tcPr>
            <w:tcW w:type="dxa" w:w="36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Konsekuensi Jika Dilanggar</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B-01</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Seluruh fitur inti wajib bergantung pada data Sectors melalui MCP atau REST API. Produk harus kehilangan fungsi utamanya jika data Sectors dicabut.</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Gagal pada tahap pemeriksaan kelayakan.</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B-02</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Produk dilarang memberikan rekomendasi beli atau jual, serta dilarang menyatakan probabilitas arah pergerakan harga.</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Diskualifikasi berdasarkan kode etik kompetisi.</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B-03</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Produk dilarang melakukan, meneruskan, atau mengotomasi eksekusi transaksi.</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Diskualifikasi pada seluruh track.</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B-04</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AI harus berperan sebagai pendukung, bukan inti produk, agar tetap sesuai definisi Track 3.</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Proyek dipindahkan juri ke track lain.</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B-05</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Kode proyek hanya boleh ditulis dalam periode build dan repositori harus dibuat dalam periode tersebut.</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Diskualifikasi karena pelanggaran periode build.</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B-06</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Seluruh kunci API wajib dihapus dari repositori sebelum submission.</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Risiko kebocoran kredensial dan pelanggaran aturan.</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B-07</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Repositori dan aplikasi membeku saat submission dikirim. Tidak ada perubahan apa pun setelahnya.</w:t>
            </w:r>
          </w:p>
        </w:tc>
        <w:tc>
          <w:tcPr>
            <w:tcW w:type="dxa" w:w="3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Diskualifikasi karena pelanggaran code freeze.</w:t>
            </w:r>
          </w:p>
        </w:tc>
      </w:tr>
    </w:tbl>
    <w:p>
      <w:pPr>
        <w:spacing w:after="120"/>
      </w:pP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Penerapan batasan B-02 pada tingkat antarmuka dilakukan melalui aturan penulisan berikut. Seluruh keluaran produk harus berbentuk pernyataan faktual atau klasifikasi terhadap kriteria yang telah didefinisikan, misalnya keterangan bahwa suatu emiten memenuhi kriteria tertentu berdasarkan rasio yang dihitung. Keluaran dilarang berbentuk anjuran tindakan maupun perkiraan arah harga. Disclaimer wajib ditampilkan pada halaman utama dan pada setiap fitur yang menampilkan sinyal teknikal.</w:t>
      </w:r>
    </w:p>
    <w:p>
      <w:pPr>
        <w:pStyle w:val="Heading1"/>
        <w:spacing w:after="160" w:before="280"/>
        <w:jc w:val="left"/>
      </w:pPr>
      <w:r>
        <w:rPr>
          <w:rFonts w:ascii="Times New Roman" w:cs="Times New Roman" w:eastAsia="Times New Roman" w:hAnsi="Times New Roman"/>
          <w:b/>
          <w:bCs/>
          <w:color w:val="000000"/>
          <w:sz w:val="24"/>
          <w:szCs w:val="24"/>
        </w:rPr>
        <w:t xml:space="preserve">7. Metrik Keberhasilan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Karena produk dinilai dalam konteks kompetisi, metrik keberhasilan disusun agar selaras dengan bobot penilaian juri.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Metrik</w:t>
            </w:r>
          </w:p>
        </w:tc>
        <w:tc>
          <w:tcPr>
            <w:tcW w:type="dxa" w:w="34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Target</w:t>
            </w:r>
          </w:p>
        </w:tc>
        <w:tc>
          <w:tcPr>
            <w:tcW w:type="dxa" w:w="26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Kaitan dengan Penilaian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Alur inti berfungsi dari awal sampai akhir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Seluruh fitur P1 dan P2 berjalan tanpa kegagalan pada demo</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Kegunaan dunia nyata (40 persen)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Waktu pengguna memahami satu emiten</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Kurang dari tiga menit sejak membuka halaman emiten</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Kegunaan dunia nyata (40 persen)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Kelengkapan penjelasan istilah</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Seluruh istilah teknis di antarmuka memiliki penjelasan</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Kegunaan dunia nyata (40 persen)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Kualitas video demonstrasi</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Video judging menampilkan alur inti secara utuh dalam tiga menit</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Video dan storytelling (30 persen)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Kedalaman pemakaian data Sectors</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Minimal lima jenis data berbeda diolah menjadi keluaran turunan</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Kedalaman teknis (30 persen)</w:t>
            </w:r>
          </w:p>
        </w:tc>
      </w:tr>
    </w:tbl>
    <w:p>
      <w:pPr>
        <w:pStyle w:val="Heading1"/>
        <w:spacing w:after="160" w:before="280"/>
        <w:jc w:val="left"/>
      </w:pPr>
      <w:r>
        <w:rPr>
          <w:rFonts w:ascii="Times New Roman" w:cs="Times New Roman" w:eastAsia="Times New Roman" w:hAnsi="Times New Roman"/>
          <w:b/>
          <w:bCs/>
          <w:color w:val="000000"/>
          <w:sz w:val="24"/>
          <w:szCs w:val="24"/>
        </w:rPr>
        <w:t xml:space="preserve">8. Asumsi dan Risiko</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Bagian ini mencatat hal-hal yang belum dapat dipastikan pada saat dokumen disusun dan berpotensi mengubah rencana apabila ternyata tidak sesuai.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26"/>
      </w:tblGrid>
      <w:tr>
        <w:trPr>
          <w:tblHeader/>
        </w:trPr>
        <w:tc>
          <w:tcPr>
            <w:tcW w:type="dxa" w:w="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Kode</w:t>
            </w:r>
          </w:p>
        </w:tc>
        <w:tc>
          <w:tcPr>
            <w:tcW w:type="dxa" w:w="44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Asumsi atau Risiko</w:t>
            </w:r>
          </w:p>
        </w:tc>
        <w:tc>
          <w:tcPr>
            <w:tcW w:type="dxa" w:w="38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Mitigasi</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R-01</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Ketersediaan data historis pada Sectors belum diverifikasi. Fitur F-06, F-07, dan F-08 seluruhnya bergantung pada data harga historis.</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Verifikasi ketersediaan dan kedalaman data historis pada hari pertama sebelum menulis kode fitur terkait.</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R-02</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Kuota seribu kredit API dapat habis lebih cepat dari perkiraan akibat pengujian berulang.</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Terapkan cache lokal untuk seluruh pemanggilan selama pengembangan dan catat pemakaian kredit secara berkala.</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R-03</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Biaya dan kuota penyedia AI generatif terpisah dari kredit Sectors dan belum dianggarkan.</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Tetapkan penyedia dan batas pemakaian sebelum F-05 dikerjakan, serta batasi panjang konteks yang dikirim.</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R-04</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Cakupan fitur berjumlah sembilan item dan berisiko tidak selesai seluruhnya.</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Terapkan pemangkasan bertahap dimulai dari prioritas terendah apabila fitur P1 dan P2 belum stabil pada sepuluh hari sebelum tenggat.</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R-05</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Keluaran AI berpotensi menghasilkan kalimat yang menyerupai anjuran investasi.</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Terapkan instruksi sistem yang melarang anjuran, serta lakukan pengujian manual terhadap sekumpulan pertanyaan yang rawan.</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R-06</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Proyek dikerjakan satu orang tanpa cadangan. Seluruh peran melekat pada satu pengerja yang sama.</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Selesaikan fitur berprioritas tertinggi lebih awal agar produk tetap layak submit apabila pengerjaan terhenti di tengah jalan.</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R-07</w:t>
            </w:r>
          </w:p>
        </w:tc>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Beban kerja terjadwal menuntut kapasitas dua belas setengah jam per hari selama dua puluh tujuh hari berturut-turut tanpa hari cadangan.</w:t>
            </w:r>
          </w:p>
        </w:tc>
        <w:tc>
          <w:tcPr>
            <w:tcW w:type="dxa" w:w="3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Ukur kapasitas nyata pada minggu pertama dan bandingkan terhadap tabel uji kapasitas sebelum melanjutkan ke fitur berprioritas rendah.</w:t>
            </w:r>
          </w:p>
        </w:tc>
      </w:tr>
    </w:tbl>
    <w:p>
      <w:pPr>
        <w:pStyle w:val="Heading1"/>
        <w:spacing w:after="160" w:before="280"/>
        <w:jc w:val="left"/>
      </w:pPr>
      <w:r>
        <w:rPr>
          <w:rFonts w:ascii="Times New Roman" w:cs="Times New Roman" w:eastAsia="Times New Roman" w:hAnsi="Times New Roman"/>
          <w:b/>
          <w:bCs/>
          <w:color w:val="000000"/>
          <w:sz w:val="24"/>
          <w:szCs w:val="24"/>
        </w:rPr>
        <w:t xml:space="preserve">9. Kebutuhan Submission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Dokumen ini juga berfungsi sebagai pengingat kelengkapan submission yang harus tersedia sebelum tenggat.</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Tautan repositori publik yang tetap terbuka minimal sembilan puluh hari setelah pengumuman pemenang, tanpa kunci API di dalamnya.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Video teaser berdurasi satu menit yang dipublikasikan secara terbuka.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Video judging berdurasi maksimal tiga menit yang menampilkan masalah, target pengguna, dan alur kerja inti.</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Pernyataan masalah dalam satu kalimat sebagaimana tercantum pada bagian dua dokumen ini.</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Pemilihan track dan daftar nama seluruh anggota tim.</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Unggahan media sosial yang menandai akun resmi Sectors.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rPr>
        <w:rFonts w:ascii="Times New Roman" w:cs="Times New Roman" w:eastAsia="Times New Roman" w:hAnsi="Times New Roman"/>
        <w:color w:val="000000"/>
        <w:sz w:val="24"/>
        <w:szCs w:val="24"/>
      </w:rPr>
    </w:lvl>
    <w:lvl w:ilvl="1" w15:tentative="1">
      <w:start w:val="1"/>
      <w:numFmt w:val="bullet"/>
      <w:lvlText w:val="◦"/>
      <w:lvlJc w:val="left"/>
      <w:pPr>
        <w:ind w:left="1440" w:hanging="260"/>
      </w:pPr>
      <w:rPr>
        <w:rFonts w:ascii="Times New Roman" w:cs="Times New Roman" w:eastAsia="Times New Roman" w:hAnsi="Times New Roman"/>
        <w:color w:val="000000"/>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2026-09-04T04:15:44.354Z</dcterms:created>
  <dcterms:modified xsi:type="dcterms:W3CDTF">2026-09-04T04:15:44.364Z</dcterms:modified>
</cp:coreProperties>
</file>

<file path=docProps/custom.xml><?xml version="1.0" encoding="utf-8"?>
<Properties xmlns="http://schemas.openxmlformats.org/officeDocument/2006/custom-properties" xmlns:vt="http://schemas.openxmlformats.org/officeDocument/2006/docPropsVTypes"/>
</file>