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12 pola candlestick baku (doji, hammer, engulfing, harami, morning/evening star, three white soldiers/black crows, dst.) dideteksi via library technicalindicators, discan per tanggal atas 90 hari data harga terakhir. Setiap penanda menyimpan kategori (reversal-bullish/reversal-bearish/indecision) dan definisi baku, disertai peringatan keandalan bervariasi.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MA10 dan MA20 (rata-rata penutupan 10/20 hari) serta RSI14 (indeks kekuatan relatif 14 hari), dihitung via library technicalindicators dari data harga yang sama dengan F-06/F-07 (tidak ada panggilan data baru). Digambar pada grafik yang sama dengan candlestick, RSI pada panel terpisah karena skalanya 0-100.</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r>
        <w:tc>
          <w:tcPr>
            <w:tcW w:type="dxa" w:w="1600"/>
          </w:tcPr>
          <w:p>
            <w:r>
              <w:t>4 September 2026</w:t>
            </w:r>
          </w:p>
        </w:tc>
        <w:tc>
          <w:tcPr>
            <w:tcW w:type="dxa" w:w="4200"/>
          </w:tcPr>
          <w:p>
            <w:r>
              <w:t>Implementasi F-07 (pola candlestick) + grafik harga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F-08 (MA10/MA20 + RSI14) -- seluruhnya dari cache BBCA yang sudah ada</w:t>
            </w:r>
          </w:p>
        </w:tc>
        <w:tc>
          <w:tcPr>
            <w:tcW w:type="dxa" w:w="1600"/>
          </w:tcPr>
          <w:p>
            <w:r>
              <w:t>0</w:t>
            </w:r>
          </w:p>
        </w:tc>
        <w:tc>
          <w:tcPr>
            <w:tcW w:type="dxa" w:w="1626"/>
          </w:tcPr>
          <w:p>
            <w:r>
              <w:t>947</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