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r>
        <w:tc>
          <w:tcPr>
            <w:tcW w:type="dxa" w:w="850"/>
          </w:tcPr>
          <w:p>
            <w:r>
              <w:t>E-10</w:t>
            </w:r>
          </w:p>
        </w:tc>
        <w:tc>
          <w:tcPr>
            <w:tcW w:type="dxa" w:w="2336"/>
          </w:tcPr>
          <w:p>
            <w:r>
              <w:t>GET /v2/index-daily/{index_code}/ (Index Daily)</w:t>
            </w:r>
          </w:p>
        </w:tc>
        <w:tc>
          <w:tcPr>
            <w:tcW w:type="dxa" w:w="2549"/>
          </w:tcPr>
          <w:p>
            <w:r>
              <w:t>Harga penutupan indeks (IHSG dkk.) harian, dipakai untuk widget ringkasan pasar di halaman utama.</w:t>
            </w:r>
          </w:p>
        </w:tc>
        <w:tc>
          <w:tcPr>
            <w:tcW w:type="dxa" w:w="2018"/>
          </w:tcPr>
          <w:p>
            <w:r>
              <w:t>Halaman utama (market overview)</w:t>
            </w:r>
          </w:p>
        </w:tc>
        <w:tc>
          <w:tcPr>
            <w:tcW w:type="dxa" w:w="1273"/>
          </w:tcPr>
          <w:p>
            <w:r>
              <w:t>1 kredit per panggilan.</w:t>
            </w:r>
          </w:p>
        </w:tc>
      </w:tr>
      <w:tr>
        <w:tc>
          <w:tcPr>
            <w:tcW w:type="dxa" w:w="850"/>
          </w:tcPr>
          <w:p>
            <w:r>
              <w:t>E-11</w:t>
            </w:r>
          </w:p>
        </w:tc>
        <w:tc>
          <w:tcPr>
            <w:tcW w:type="dxa" w:w="2336"/>
          </w:tcPr>
          <w:p>
            <w:r>
              <w:t>GET /v2/idx-total/ (IDX Market Summary)</w:t>
            </w:r>
          </w:p>
        </w:tc>
        <w:tc>
          <w:tcPr>
            <w:tcW w:type="dxa" w:w="2549"/>
          </w:tcPr>
          <w:p>
            <w:r>
              <w:t>Total kapitalisasi pasar IDX harian, dipakai untuk widget ringkasan pasar.</w:t>
            </w:r>
          </w:p>
        </w:tc>
        <w:tc>
          <w:tcPr>
            <w:tcW w:type="dxa" w:w="2018"/>
          </w:tcPr>
          <w:p>
            <w:r>
              <w:t>Halaman utama (market overview)</w:t>
            </w:r>
          </w:p>
        </w:tc>
        <w:tc>
          <w:tcPr>
            <w:tcW w:type="dxa" w:w="1273"/>
          </w:tcPr>
          <w:p>
            <w:r>
              <w:t>1 kredit per panggilan.</w:t>
            </w:r>
          </w:p>
        </w:tc>
      </w:tr>
      <w:tr>
        <w:tc>
          <w:tcPr>
            <w:tcW w:type="dxa" w:w="850"/>
          </w:tcPr>
          <w:p>
            <w:r>
              <w:t>E-12</w:t>
            </w:r>
          </w:p>
        </w:tc>
        <w:tc>
          <w:tcPr>
            <w:tcW w:type="dxa" w:w="2336"/>
          </w:tcPr>
          <w:p>
            <w:r>
              <w:t>GET /v2/companies/top-changes/ (Top Company Movers)</w:t>
            </w:r>
          </w:p>
        </w:tc>
        <w:tc>
          <w:tcPr>
            <w:tcW w:type="dxa" w:w="2549"/>
          </w:tcPr>
          <w:p>
            <w:r>
              <w:t>Top gainers/losers harian, dipakai untuk widget ringkasan pasar.</w:t>
            </w:r>
          </w:p>
        </w:tc>
        <w:tc>
          <w:tcPr>
            <w:tcW w:type="dxa" w:w="2018"/>
          </w:tcPr>
          <w:p>
            <w:r>
              <w:t>Halaman utama (market overview)</w:t>
            </w:r>
          </w:p>
        </w:tc>
        <w:tc>
          <w:tcPr>
            <w:tcW w:type="dxa" w:w="1273"/>
          </w:tcPr>
          <w:p>
            <w:r>
              <w:t>1 kredit per kombinasi klasifikasi x periode (2 kredit untuk gainers+losers periode 1D).</w:t>
            </w:r>
          </w:p>
        </w:tc>
      </w:tr>
      <w:tr>
        <w:tc>
          <w:tcPr>
            <w:tcW w:type="dxa" w:w="850"/>
          </w:tcPr>
          <w:p>
            <w:r>
              <w:t>E-13</w:t>
            </w:r>
          </w:p>
        </w:tc>
        <w:tc>
          <w:tcPr>
            <w:tcW w:type="dxa" w:w="2336"/>
          </w:tcPr>
          <w:p>
            <w:r>
              <w:t>GET /v2/news/ (extension=idx, tanpa filter simbol)</w:t>
            </w:r>
          </w:p>
        </w:tc>
        <w:tc>
          <w:tcPr>
            <w:tcW w:type="dxa" w:w="2549"/>
          </w:tcPr>
          <w:p>
            <w:r>
              <w:t>Berita pasar umum untuk dashboard dan halaman /berita.</w:t>
            </w:r>
          </w:p>
        </w:tc>
        <w:tc>
          <w:tcPr>
            <w:tcW w:type="dxa" w:w="2018"/>
          </w:tcPr>
          <w:p>
            <w:r>
              <w:t>Dashboard, halaman Berita</w:t>
            </w:r>
          </w:p>
        </w:tc>
        <w:tc>
          <w:tcPr>
            <w:tcW w:type="dxa" w:w="1273"/>
          </w:tcPr>
          <w:p>
            <w:r>
              <w:t>1 kredit per panggilan.</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Z-score volume dan perubahan harga harian terhadap baseline historis emiten itu sendiri (bukan dibanding emiten lain), min. 10 hari data. Ambang: |z| &gt; 2 standar deviasi. Faktual murni -- tidak menyatakan penyebab atau perkiraan kelanjutan pergerakan. Bila anomali terdeteksi, ditampilkan hingga 5 berita terkait sebagai kemungkinan konteks (bukan klaim sebab-akibat).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12 pola candlestick baku (doji, hammer, engulfing, harami, morning/evening star, three white soldiers/black crows, dst.) dideteksi via library technicalindicators, discan per tanggal atas 90 hari data harga terakhir. Setiap penanda menyimpan kategori (reversal-bullish/reversal-bearish/indecision) dan definisi baku, disertai peringatan keandalan bervariasi.</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MA10 dan MA20 (rata-rata penutupan 10/20 hari) serta RSI14 (indeks kekuatan relatif 14 hari), dihitung via library technicalindicators dari data harga yang sama dengan F-06/F-07 (tidak ada panggilan data baru). Digambar pada grafik yang sama dengan candlestick, RSI pada panel terpisah karena skalanya 0-100.</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Pr>
          <w:p>
            <w:r>
              <w:t>D-09</w:t>
            </w:r>
          </w:p>
        </w:tc>
        <w:tc>
          <w:tcPr>
            <w:tcW w:type="dxa" w:w="2124"/>
          </w:tcPr>
          <w:p>
            <w:r>
              <w:t>Kemiripan Pola Lintas Saham</w:t>
            </w:r>
          </w:p>
        </w:tc>
        <w:tc>
          <w:tcPr>
            <w:tcW w:type="dxa" w:w="4672"/>
          </w:tcPr>
          <w:p>
            <w:r>
              <w:t>Skor kemiripan (0-1) antara bentuk pergerakan harga 20 hari terakhir emiten dengan window 20 hari pada emiten lain di sub-sektor sama (jarak Euclidean atas harga ternormalisasi), beserta perubahan harga N hari setelah window pembanding tersebut. Fitur opsional (F-09/P4), disajikan sebagai laporan historis dengan peringatan eksplisit bahwa kemiripan masa lalu tidak menjamin pengulangan.</w:t>
            </w:r>
          </w:p>
        </w:tc>
        <w:tc>
          <w:tcPr>
            <w:tcW w:type="dxa" w:w="1380"/>
          </w:tcPr>
          <w:p>
            <w:r>
              <w:t>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r>
        <w:t>Catatan: angka pada kolom Kredit Terpakai untuk entri sebelum baris eksplorasi Food &amp; Beverage bertanda ~ adalah estimasi manual berdasarkan jumlah panggilan API yang dilakukan, bukan hasil pembacaan langsung dari dashboard Sectors. Entri berikutnya diverifikasi terhadap usage-log CSV resmi dari dashboard.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r>
        <w:tc>
          <w:tcPr>
            <w:tcW w:type="dxa" w:w="1600"/>
          </w:tcPr>
          <w:p>
            <w:r>
              <w:t>4 September 2026</w:t>
            </w:r>
          </w:p>
        </w:tc>
        <w:tc>
          <w:tcPr>
            <w:tcW w:type="dxa" w:w="4200"/>
          </w:tcPr>
          <w:p>
            <w:r>
              <w:t>Implementasi F-05 (kamus istilah, konteks AI, panel tanya jawab) -- seluruhnya dari cache BBCA/Banks yang sudah ada, tidak ada panggilan Sectors baru</w:t>
            </w:r>
          </w:p>
        </w:tc>
        <w:tc>
          <w:tcPr>
            <w:tcW w:type="dxa" w:w="1600"/>
          </w:tcPr>
          <w:p>
            <w:r>
              <w:t>0</w:t>
            </w:r>
          </w:p>
        </w:tc>
        <w:tc>
          <w:tcPr>
            <w:tcW w:type="dxa" w:w="1626"/>
          </w:tcPr>
          <w:p>
            <w:r>
              <w:t>947</w:t>
            </w:r>
          </w:p>
        </w:tc>
      </w:tr>
      <w:tr>
        <w:tc>
          <w:tcPr>
            <w:tcW w:type="dxa" w:w="1600"/>
          </w:tcPr>
          <w:p>
            <w:r>
              <w:t>4 September 2026</w:t>
            </w:r>
          </w:p>
        </w:tc>
        <w:tc>
          <w:tcPr>
            <w:tcW w:type="dxa" w:w="4200"/>
          </w:tcPr>
          <w:p>
            <w:r>
              <w:t>Implementasi F-07 (pola candlestick) + grafik harga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F-08 (MA10/MA20 + RSI14)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F-09 (kemiripan pola lintas saham) -- uji dengan 10 kandidat peer Banks</w:t>
            </w:r>
          </w:p>
        </w:tc>
        <w:tc>
          <w:tcPr>
            <w:tcW w:type="dxa" w:w="1600"/>
          </w:tcPr>
          <w:p>
            <w:r>
              <w:t>~1</w:t>
            </w:r>
          </w:p>
        </w:tc>
        <w:tc>
          <w:tcPr>
            <w:tcW w:type="dxa" w:w="1626"/>
          </w:tcPr>
          <w:p>
            <w:r>
              <w:t>~946</w:t>
            </w:r>
          </w:p>
        </w:tc>
      </w:tr>
      <w:tr>
        <w:tc>
          <w:tcPr>
            <w:tcW w:type="dxa" w:w="1600"/>
          </w:tcPr>
          <w:p>
            <w:r>
              <w:t>4 September 2026</w:t>
            </w:r>
          </w:p>
        </w:tc>
        <w:tc>
          <w:tcPr>
            <w:tcW w:type="dxa" w:w="4200"/>
          </w:tcPr>
          <w:p>
            <w:r>
              <w:t>Eksplorasi manual oleh pengerja (screener sub-sektor Food &amp; Beverage ~19 emiten + beberapa daily bank) -- terverifikasi via usage-log CSV resmi dari dashboard Sectors, bukan estimasi.</w:t>
            </w:r>
          </w:p>
        </w:tc>
        <w:tc>
          <w:tcPr>
            <w:tcW w:type="dxa" w:w="1600"/>
          </w:tcPr>
          <w:p>
            <w:r>
              <w:t>24 (dari 24 baris log CSV yang diberikan; log CSV hanya memuat aktivitas terbaru, bukan riwayat penuh)</w:t>
            </w:r>
          </w:p>
        </w:tc>
        <w:tc>
          <w:tcPr>
            <w:tcW w:type="dxa" w:w="1626"/>
          </w:tcPr>
          <w:p>
            <w:r>
              <w:t>Lihat catatan</w:t>
            </w:r>
          </w:p>
        </w:tc>
      </w:tr>
      <w:tr>
        <w:tc>
          <w:tcPr>
            <w:tcW w:type="dxa" w:w="1600"/>
          </w:tcPr>
          <w:p>
            <w:r>
              <w:t>4 September 2026</w:t>
            </w:r>
          </w:p>
        </w:tc>
        <w:tc>
          <w:tcPr>
            <w:tcW w:type="dxa" w:w="4200"/>
          </w:tcPr>
          <w:p>
            <w:r>
              <w:t>Widget market overview (IHSG + kapitalisasi pasar + top gainers/losers) di halaman utama</w:t>
            </w:r>
          </w:p>
        </w:tc>
        <w:tc>
          <w:tcPr>
            <w:tcW w:type="dxa" w:w="1600"/>
          </w:tcPr>
          <w:p>
            <w:r>
              <w:t>4</w:t>
            </w:r>
          </w:p>
        </w:tc>
        <w:tc>
          <w:tcPr>
            <w:tcW w:type="dxa" w:w="1626"/>
          </w:tcPr>
          <w:p>
            <w:r>
              <w:t>~942</w:t>
            </w:r>
          </w:p>
        </w:tc>
      </w:tr>
      <w:tr>
        <w:tc>
          <w:tcPr>
            <w:tcW w:type="dxa" w:w="1600"/>
          </w:tcPr>
          <w:p>
            <w:r>
              <w:t>4 September 2026</w:t>
            </w:r>
          </w:p>
        </w:tc>
        <w:tc>
          <w:tcPr>
            <w:tcW w:type="dxa" w:w="4200"/>
          </w:tcPr>
          <w:p>
            <w:r>
              <w:t>REKONSILIASI FINAL dari dashboard Sectors (Plans &amp; Usage): 195 request periode ini, 100% success. Seluruh estimasi manual di atas baris ini TIDAK AKURAT (total tercatat manual ~58, realita 195) -- gunakan angka dashboard sebagai kebenaran, bukan log manual di atas.</w:t>
            </w:r>
          </w:p>
        </w:tc>
        <w:tc>
          <w:tcPr>
            <w:tcW w:type="dxa" w:w="1600"/>
          </w:tcPr>
          <w:p>
            <w:r>
              <w:t>195 (aktual, dari dashboard)</w:t>
            </w:r>
          </w:p>
        </w:tc>
        <w:tc>
          <w:tcPr>
            <w:tcW w:type="dxa" w:w="1626"/>
          </w:tcPr>
          <w:p>
            <w:r>
              <w:t>805 (aktual, dari dashboard, expires 30 Sep 2026)</w:t>
            </w:r>
          </w:p>
        </w:tc>
      </w:tr>
      <w:tr>
        <w:tc>
          <w:tcPr>
            <w:tcW w:type="dxa" w:w="1600"/>
          </w:tcPr>
          <w:p>
            <w:r>
              <w:t>4 September 2026</w:t>
            </w:r>
          </w:p>
        </w:tc>
        <w:tc>
          <w:tcPr>
            <w:tcW w:type="dxa" w:w="4200"/>
          </w:tcPr>
          <w:p>
            <w:r>
              <w:t>Desain ulang UI tahap 1: dashboard ala Sectors.app (hero search + IHSG + berita), pencarian instan client-side ala TradingView (index 962 emiten di-fetch sekali), halaman berita ala IDX (/berita).</w:t>
            </w:r>
          </w:p>
        </w:tc>
        <w:tc>
          <w:tcPr>
            <w:tcW w:type="dxa" w:w="1600"/>
          </w:tcPr>
          <w:p>
            <w:r>
              <w:t>~10</w:t>
            </w:r>
          </w:p>
        </w:tc>
        <w:tc>
          <w:tcPr>
            <w:tcW w:type="dxa" w:w="1626"/>
          </w:tcPr>
          <w:p>
            <w:r>
              <w:t>~930</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