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1.1</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6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Aktif — log keputusan diperbarui seiring implementasi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r>
        <w:t>Status verifikasi (diisi 4 September 2026): Area "Perhitungan" — dijalankan atas 4 emiten sub-sektor Banks (BBCA, BBHI, BCIC, AGRO), mencakup skor tertinggi, sedang, dan terendah dalam kelompok. Rasio mentah, persentil, dan skor komposit dihitung ulang secara independen (skrip Python terpisah dari score.ts, dari data mentah yang sama). Hasil: 3 dari 4 sama persis; 1 (AGRO) berbeda di desimal kedua (23.12 vs 23.13) karena nilai sebenarnya tepat di titik pembulatan (23.125) -- bukan kesalahan formula. LULUS. Ditemukan dan diperbaiki dalam proses ini: bug UI dengan sub-sektor kecil (Tobacco, 4 emiten) -- field groupSizeAdequate sudah dihitung backend tapi tidak pernah ditampilkan ke pengguna; sekarang ada peringatan eksplisit di halaman detail emiten dan screener saat kelompok pembanding di bawah ambang batas (5). Area "Data tidak lengkap" — tercakup dalam logika computeCompositeScore (status inadequate/partial), belum diuji manual dengan emiten nyata yang datanya kosong. Area "Kepatuhan keluaran AI" — 12 pertanyaan rawan LULUS dengan gemini-2.5-flash (direview manual); belum tuntas untuk gemini-3.5-flash-lite karena gangguan 503 Google (lihat entri terkait di bagian 11).</w:t>
      </w:r>
    </w:p>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r>
        <w:tc>
          <w:tcPr>
            <w:tcW w:type="dxa" w:w="1500"/>
          </w:tcPr>
          <w:p>
            <w:r>
              <w:t>4 September 2026</w:t>
            </w:r>
          </w:p>
        </w:tc>
        <w:tc>
          <w:tcPr>
            <w:tcW w:type="dxa" w:w="3800"/>
          </w:tcPr>
          <w:p>
            <w:r>
              <w:t>BUG DITEMUKAN &amp; DIPERBAIKI: groupSizeAdequate dihitung backend tapi tidak pernah ditampilkan ke pengguna -- sub-sektor kecil (mis. Tobacco, 4 emiten) menampilkan persentil tanpa peringatan bahwa kelompoknya tidak bermakna secara statistik.</w:t>
            </w:r>
          </w:p>
        </w:tc>
        <w:tc>
          <w:tcPr>
            <w:tcW w:type="dxa" w:w="3726"/>
          </w:tcPr>
          <w:p>
            <w:r>
              <w:t>Ditemukan lewat verifikasi manual sistematis (bukan sanity check), tepat seperti yang diwajibkan rencana pengujian bagian 10 tapi belum pernah benar-benar dijalankan sebelumnya. Diperbaiki dengan banner peringatan eksplisit di EmitenDetailPage dan ScreenerPage saat groupSize &lt; 5.</w:t>
            </w:r>
          </w:p>
        </w:tc>
      </w:tr>
      <w:tr>
        <w:tc>
          <w:tcPr>
            <w:tcW w:type="dxa" w:w="1500"/>
          </w:tcPr>
          <w:p>
            <w:r>
              <w:t>4 September 2026</w:t>
            </w:r>
          </w:p>
        </w:tc>
        <w:tc>
          <w:tcPr>
            <w:tcW w:type="dxa" w:w="3800"/>
          </w:tcPr>
          <w:p>
            <w:r>
              <w:t>Keputusan strategi: hentikan penambahan fitur baru (F-10+). Fokus sisa waktu ke verifikasi kebenaran, uji kepatuhan penuh, dan produksi video/narasi.</w:t>
            </w:r>
          </w:p>
        </w:tc>
        <w:tc>
          <w:tcPr>
            <w:tcW w:type="dxa" w:w="3726"/>
          </w:tcPr>
          <w:p>
            <w:r>
              <w:t>Bobot penilaian (40% kegunaan, 30% video, 30% kedalaman teknis) tidak memberi nilai untuk jumlah fitur. Dengan 9 fitur sudah berjalan, fitur ke-10+ berisiko mengubah kesan juri dari "lengkap untuk pemula" jadi "terlalu padat untuk pemula" -- bertentangan dengan positioning produk sendiri. Verifikasi kebenaran angka justru TIDAK ikut terkompresi oleh bantuan AI (perlu dihitung ulang manual/independen), sehingga ini risiko nyata yang belum tertutup meski development sudah jauh di depan jadwal.</w:t>
            </w:r>
          </w:p>
        </w:tc>
      </w:tr>
      <w:tr>
        <w:tc>
          <w:tcPr>
            <w:tcW w:type="dxa" w:w="1500"/>
          </w:tcPr>
          <w:p>
            <w:r>
              <w:t>4 September 2026</w:t>
            </w:r>
          </w:p>
        </w:tc>
        <w:tc>
          <w:tcPr>
            <w:tcW w:type="dxa" w:w="3800"/>
          </w:tcPr>
          <w:p>
            <w:r>
              <w:t>Desain ulang UI tahap 2 (halaman saham ala TradingView): ticker header (OHLC+perubahan), toolbar timeframe 1Bln/3Bln, volume bar di grafik, tombol layar penuh. TIDAK menambahkan alat gambar, replay, alert, atau tombol "Trade"/"Publikasi".</w:t>
            </w:r>
          </w:p>
        </w:tc>
        <w:tc>
          <w:tcPr>
            <w:tcW w:type="dxa" w:w="3726"/>
          </w:tcPr>
          <w:p>
            <w:r>
              <w:t>Semua kontrol yang ditambahkan benar-benar berfungsi memakai data yang sudah di-fetch (0 kredit tambahan) -- tidak ada ikon dekoratif kosong. Tombol "Trade" sengaja tidak dibuat meski ada di referensi TradingView, karena secara visual berisiko dibaca sebagai kemampuan eksekusi transaksi, melanggar batasan B-03, walau tombolnya sendiri tidak fungsional -- lebih aman tidak ada sama sekali. Verifikasi: toggle timeframe dan volume bar berhasil diuji visual; tombol layar penuh memakai Fullscreen API standar browser tapi tidak bisa diuji end-to-end di sandbox tool otomasi ("Permissions check failed" -- pembatasan iframe sandbox, bukan bug kode; akan berfungsi normal di tab browser sungguhan).</w:t>
            </w:r>
          </w:p>
        </w:tc>
      </w:tr>
      <w:tr>
        <w:tc>
          <w:tcPr>
            <w:tcW w:type="dxa" w:w="1500"/>
          </w:tcPr>
          <w:p>
            <w:r>
              <w:t>4 September 2026</w:t>
            </w:r>
          </w:p>
        </w:tc>
        <w:tc>
          <w:tcPr>
            <w:tcW w:type="dxa" w:w="3800"/>
          </w:tcPr>
          <w:p>
            <w:r>
              <w:t>Perbaikan tata letak dashboard: widget movers dari 1 kartu bertab (Gainers/Losers/Teraktif bergantian) menjadi 3 kartu sejajar, kolom nama dibatasi lebar tetap (bukan flex-1 mengembang).</w:t>
            </w:r>
          </w:p>
        </w:tc>
        <w:tc>
          <w:tcPr>
            <w:tcW w:type="dxa" w:w="3726"/>
          </w:tcPr>
          <w:p>
            <w:r>
              <w:t>Feedback pengguna langsung: versi bertab menyisakan jarak kosong besar antara nama emiten dan angka harga pada layar lebar, karena elemen flex mengembang mengisi ruang kosong alih-alih memampatkan konten. Solusi tab (dari keputusan sebelumnya) ternyata mengurangi kepadatan alih-alih menambahnya karena hanya 1 dari 3 dataset terlihat sekaligus. Kembali ke 3 kolom sejajar + lebar kolom tetap menghilangkan ruang kosong dan menampilkan ketiga dataset bersamaan.</w:t>
            </w:r>
          </w:p>
        </w:tc>
      </w:tr>
      <w:tr>
        <w:tc>
          <w:tcPr>
            <w:tcW w:type="dxa" w:w="1500"/>
          </w:tcPr>
          <w:p>
            <w:r>
              <w:t>4 September 2026</w:t>
            </w:r>
          </w:p>
        </w:tc>
        <w:tc>
          <w:tcPr>
            <w:tcW w:type="dxa" w:w="3800"/>
          </w:tcPr>
          <w:p>
            <w:r>
              <w:t>Halaman detail emiten dirombak total jadi tata letak fullscreen ala TradingView: panel kanan collapsible (skor, framework, anomali, peer, pola, kemiripan), toolbar gambar kiri (garis horizontal + trend line, fungsional nyata), indikator MA/RSI default OFF (diaktifkan manual via toolbar), AI dipindah jadi ikon mengambang kanan atas dengan popup chat (bukan panel di bawah halaman).</w:t>
            </w:r>
          </w:p>
        </w:tc>
        <w:tc>
          <w:tcPr>
            <w:tcW w:type="dxa" w:w="3726"/>
          </w:tcPr>
          <w:p>
            <w:r>
              <w:t>Permintaan eksplisit pengguna setelah membandingkan langsung dengan TradingView. Alat gambar dibatasi ke 2 tool (garis horizontal via createPriceLine, trend line via LineSeries 2 titik) yang benar-benar berfungsi, bukan ikon dekoratif -- tidak mencoba meniru seluruh mesin gambar TradingView. Halaman ini sekarang di luar App shell (header/footer situs) karena butuh pengalaman imersif penuh; disclaimer wajib tetap ada sebagai strip tipis di bawah.</w:t>
            </w:r>
          </w:p>
        </w:tc>
      </w:tr>
      <w:tr>
        <w:tc>
          <w:tcPr>
            <w:tcW w:type="dxa" w:w="1500"/>
          </w:tcPr>
          <w:p>
            <w:r>
              <w:t>5 September 2026</w:t>
            </w:r>
          </w:p>
        </w:tc>
        <w:tc>
          <w:tcPr>
            <w:tcW w:type="dxa" w:w="3800"/>
          </w:tcPr>
          <w:p>
            <w:r>
              <w:t>Perkaya tipografi dan kontras dashboard: angka hero IHSG diperbesar (text-4xl font-black), bobot font section header dinaikkan, gambar berita diperbaiki (ternyata tersembunyi karena bug prop compact+grid bertabrakan).</w:t>
            </w:r>
          </w:p>
        </w:tc>
        <w:tc>
          <w:tcPr>
            <w:tcW w:type="dxa" w:w="3726"/>
          </w:tcPr>
          <w:p>
            <w:r>
              <w:t>Perbandingan langsung terhadap referensi menunjukkan angka dan gambar kami kalah menonjol. Ditemukan bug nyata dalam proses: NewsFeed grid=true dipanggil dengan compact=true, dan kondisi render gambar menolak kombinasi itu (!compact), sehingga dashboard tidak pernah menampilkan thumbnail berita. Juga ditemukan bug overflow horizontal (body scrollWidth &gt; viewport) tepat di breakpoint sm: 640px pada widget movers 3-kolom -- kolom nama+harga+persen tidak cukup ruang di lebar sempit. Diperbaiki: breakpoint grid dinaikkan ke md: (768px) dan min-w-0 ditambahkan pada baris flex agar truncate benar-benar membatasi lebar. Diverifikasi tanpa overflow di 640/767/768/1280px.</w:t>
            </w:r>
          </w:p>
        </w:tc>
      </w:tr>
      <w:tr>
        <w:tc>
          <w:tcPr>
            <w:tcW w:type="dxa" w:w="1500"/>
          </w:tcPr>
          <w:p>
            <w:r>
              <w:t>5 September 2026</w:t>
            </w:r>
          </w:p>
        </w:tc>
        <w:tc>
          <w:tcPr>
            <w:tcW w:type="dxa" w:w="3800"/>
          </w:tcPr>
          <w:p>
            <w:r>
              <w:t>Halaman detail emiten diubah dari workstation layar penuh menjadi halaman analisis yang di-scroll di dalam shell aplikasi yang sama dengan dashboard.</w:t>
            </w:r>
          </w:p>
        </w:tc>
        <w:tc>
          <w:tcPr>
            <w:tcW w:type="dxa" w:w="3726"/>
          </w:tcPr>
          <w:p>
            <w:r>
              <w:t>Layout lama keluar dari kerangka App sehingga tidak memiliki navigasi keluar. Mockup acuan juga menampilkannya sebagai halaman biasa.</w:t>
            </w:r>
          </w:p>
        </w:tc>
      </w:tr>
      <w:tr>
        <w:tc>
          <w:tcPr>
            <w:tcW w:type="dxa" w:w="1500"/>
          </w:tcPr>
          <w:p>
            <w:r>
              <w:t>5 September 2026</w:t>
            </w:r>
          </w:p>
        </w:tc>
        <w:tc>
          <w:tcPr>
            <w:tcW w:type="dxa" w:w="3800"/>
          </w:tcPr>
          <w:p>
            <w:r>
              <w:t>Grafik harga memanggil ulang fitContent() setiap kali lebar container berubah.</w:t>
            </w:r>
          </w:p>
        </w:tc>
        <w:tc>
          <w:tcPr>
            <w:tcW w:type="dxa" w:w="3726"/>
          </w:tcPr>
          <w:p>
            <w:r>
              <w:t>lightweight-charts mempertahankan bar spacing saat resize. Container diukur sebelum flex/grid induk selesai, sehingga seluruh candle menumpuk di tepi kanan pada dashboard maupun halaman emiten.</w:t>
            </w:r>
          </w:p>
        </w:tc>
      </w:tr>
      <w:tr>
        <w:tc>
          <w:tcPr>
            <w:tcW w:type="dxa" w:w="1500"/>
          </w:tcPr>
          <w:p>
            <w:r>
              <w:t>5 September 2026</w:t>
            </w:r>
          </w:p>
        </w:tc>
        <w:tc>
          <w:tcPr>
            <w:tcW w:type="dxa" w:w="3800"/>
          </w:tcPr>
          <w:p>
            <w:r>
              <w:t>Penanda pola candlestick dimatikan secara default dan dijadikan toggle Pola.</w:t>
            </w:r>
          </w:p>
        </w:tc>
        <w:tc>
          <w:tcPr>
            <w:tcW w:type="dxa" w:w="3726"/>
          </w:tcPr>
          <w:p>
            <w:r>
              <w:t>Penanda memenuhi grafik dan tidak dapat dimatikan. Daftar pola tetap tersedia di panel samping.</w:t>
            </w:r>
          </w:p>
        </w:tc>
      </w:tr>
      <w:tr>
        <w:tc>
          <w:tcPr>
            <w:tcW w:type="dxa" w:w="1500"/>
          </w:tcPr>
          <w:p>
            <w:r>
              <w:t>5 September 2026</w:t>
            </w:r>
          </w:p>
        </w:tc>
        <w:tc>
          <w:tcPr>
            <w:tcW w:type="dxa" w:w="3800"/>
          </w:tcPr>
          <w:p>
            <w:r>
              <w:t>Target layar penuh dipindahkan dari elemen grafik ke seluruh kartu grafik, dengan fallback overlay dalam halaman bila Fullscreen API tidak berefek.</w:t>
            </w:r>
          </w:p>
        </w:tc>
        <w:tc>
          <w:tcPr>
            <w:tcW w:type="dxa" w:w="3726"/>
          </w:tcPr>
          <w:p>
            <w:r>
              <w:t>Sebelumnya toolbar rentang waktu, indikator, dan alat gambar berada di luar elemen layar penuh sehingga grafik tidak dapat dioperasikan. Sebagian embedder me-resolve requestFullscreen tanpa benar-benar masuk layar penuh, sehingga hasilnya diperiksa, bukan dipercaya.</w:t>
            </w:r>
          </w:p>
        </w:tc>
      </w:tr>
      <w:tr>
        <w:tc>
          <w:tcPr>
            <w:tcW w:type="dxa" w:w="1500"/>
          </w:tcPr>
          <w:p>
            <w:r>
              <w:t>5 September 2026</w:t>
            </w:r>
          </w:p>
        </w:tc>
        <w:tc>
          <w:tcPr>
            <w:tcW w:type="dxa" w:w="3800"/>
          </w:tcPr>
          <w:p>
            <w:r>
              <w:t>historical_valuation dan historical_financials dari section valuation/financials dipetakan seluruhnya, bukan hanya tahun terakhir.</w:t>
            </w:r>
          </w:p>
        </w:tc>
        <w:tc>
          <w:tcPr>
            <w:tcW w:type="dxa" w:w="3726"/>
          </w:tcPr>
          <w:p>
            <w:r>
              <w:t>Section tersebut sudah diambil dan di-cache untuk P/E dan PBV. Memetakan sisanya menghasilkan tabel multiples lima tahun dan grafik laba tahunan tanpa biaya kredit tambahan.</w:t>
            </w:r>
          </w:p>
        </w:tc>
      </w:tr>
      <w:tr>
        <w:tc>
          <w:tcPr>
            <w:tcW w:type="dxa" w:w="1500"/>
          </w:tcPr>
          <w:p>
            <w:r>
              <w:t>5 September 2026</w:t>
            </w:r>
          </w:p>
        </w:tc>
        <w:tc>
          <w:tcPr>
            <w:tcW w:type="dxa" w:w="3800"/>
          </w:tcPr>
          <w:p>
            <w:r>
              <w:t>Pemindaian anomali lintas emiten teramai dibatasi konstanta SCAN_LIMIT dan dipisah dari endpoint /overview.</w:t>
            </w:r>
          </w:p>
        </w:tc>
        <w:tc>
          <w:tcPr>
            <w:tcW w:type="dxa" w:w="3726"/>
          </w:tcPr>
          <w:p>
            <w:r>
              <w:t>Setiap simbol memerlukan satu panggilan daily series (1 kredit). Pemisahan menjaga dashboard tetap tampil bila pemindaian lambat.</w:t>
            </w:r>
          </w:p>
        </w:tc>
      </w:tr>
      <w:tr>
        <w:tc>
          <w:tcPr>
            <w:tcW w:type="dxa" w:w="1500"/>
          </w:tcPr>
          <w:p>
            <w:r>
              <w:t>5 September 2026</w:t>
            </w:r>
          </w:p>
        </w:tc>
        <w:tc>
          <w:tcPr>
            <w:tcW w:type="dxa" w:w="3800"/>
          </w:tcPr>
          <w:p>
            <w:r>
              <w:t>Kegagalan pengambilan laporan peer dibedakan dari data yang memang tidak lengkap, dihitung sebagai fetchFailures, dan ditampilkan sebagai peringatan di antarmuka.</w:t>
            </w:r>
          </w:p>
        </w:tc>
        <w:tc>
          <w:tcPr>
            <w:tcW w:type="dxa" w:w="3726"/>
          </w:tcPr>
          <w:p>
            <w:r>
              <w:t>Sebelumnya kegagalan jaringan membuat emiten hilang diam-diam dari kelompok pembanding. Karena skor berupa persentil terhadap kelompok itu, seluruh skor bergeser tanpa error dan tanpa indikator. Teramati langsung: satu kali muat menghasilkan 79 dengan 38 pembanding, sedangkan nilai normal 78,33 dengan 48 pembanding.</w:t>
            </w:r>
          </w:p>
        </w:tc>
      </w:tr>
      <w:tr>
        <w:tc>
          <w:tcPr>
            <w:tcW w:type="dxa" w:w="1500"/>
          </w:tcPr>
          <w:p>
            <w:r>
              <w:t>5 September 2026</w:t>
            </w:r>
          </w:p>
        </w:tc>
        <w:tc>
          <w:tcPr>
            <w:tcW w:type="dxa" w:w="3800"/>
          </w:tcPr>
          <w:p>
            <w:r>
              <w:t>Tag sentimen (Bullish/Bearish/Neutral) dari sumber berita disaring sebelum ditampilkan.</w:t>
            </w:r>
          </w:p>
        </w:tc>
        <w:tc>
          <w:tcPr>
            <w:tcW w:type="dxa" w:w="3726"/>
          </w:tcPr>
          <w:p>
            <w:r>
              <w:t>Menampilkan chip Bullish pada kartu produk sendiri terbaca sebagai pandangan produk terhadap arah harga, dilarang PRD B-02.</w:t>
            </w:r>
          </w:p>
        </w:tc>
      </w:tr>
      <w:tr>
        <w:tc>
          <w:tcPr>
            <w:tcW w:type="dxa" w:w="1500"/>
          </w:tcPr>
          <w:p>
            <w:r>
              <w:t>5 September 2026</w:t>
            </w:r>
          </w:p>
        </w:tc>
        <w:tc>
          <w:tcPr>
            <w:tcW w:type="dxa" w:w="3800"/>
          </w:tcPr>
          <w:p>
            <w:r>
              <w:t>Elemen mockup berupa Skor Stocket AI STRONG BUY, Sinyal Konsensus beli/netral/jual, dan Buku Pesanan tidak direplikasi.</w:t>
            </w:r>
          </w:p>
        </w:tc>
        <w:tc>
          <w:tcPr>
            <w:tcW w:type="dxa" w:w="3726"/>
          </w:tcPr>
          <w:p>
            <w:r>
              <w:t>Dua yang pertama merupakan rekomendasi investasi yang dilarang aturan lomba dan PRD B-02. Yang ketiga memerlukan data order flow yang tidak disediakan Sectors.</w:t>
            </w:r>
          </w:p>
        </w:tc>
      </w:tr>
      <w:tr>
        <w:tc>
          <w:tcPr>
            <w:tcW w:type="dxa" w:w="1500"/>
          </w:tcPr>
          <w:p>
            <w:r>
              <w:t>5 September 2026</w:t>
            </w:r>
          </w:p>
        </w:tc>
        <w:tc>
          <w:tcPr>
            <w:tcW w:type="dxa" w:w="3800"/>
          </w:tcPr>
          <w:p>
            <w:r>
              <w:t>Lapisan cache Sectors diperkeras: TTL default dinaikkan dari 24 jam menjadi 30 hari (widget pasar 24 jam), permintaan yang sedang berjalan dide-duplikasi dengan peta in-flight berkunci URL penuh, dan setiap fetch nyata dicatat ke log backend sebagai penanda kredit terpakai.</w:t>
            </w:r>
          </w:p>
        </w:tc>
        <w:tc>
          <w:tcPr>
            <w:tcW w:type="dxa" w:w="3726"/>
          </w:tcPr>
          <w:p>
            <w:r>
              <w:t>Rekonsiliasi dengan dashboard Sectors menunjukkan sisa kredit sebenarnya 453, bukan ~892 seperti estimasi manual di log — selisih 439. Usage log resmi mengungkap dua sebab yang dapat diperbaiki di kode: TTL 24 jam membuat setiap hari kerja baru membayar ulang payload yang sama, dan dua panggilan paralel untuk URL identik sama-sama melewati pemeriksaan cache sebelum salah satunya sempat menulis, sehingga ditagih dua kali (6 dari 25 kredit pada log 5 September terbuang seperti ini). Data fundamental dan valuasi bersifat tahunan/kuartalan sehingga tidak akan berubah sebelum tenggat submit 30 September, jadi kredit — bukan kesegaran data — adalah sumber daya yang langka. Pencatatan kredit ke log dipilih agar angka pemakaian dapat diamati, bukan ditaksir, setelah estimasi manual terbukti meleset jauh.</w:t>
            </w:r>
          </w:p>
        </w:tc>
      </w:tr>
      <w:tr>
        <w:tc>
          <w:tcPr>
            <w:tcW w:type="dxa" w:w="1500"/>
          </w:tcPr>
          <w:p>
            <w:r>
              <w:t>5 September 2026</w:t>
            </w:r>
          </w:p>
        </w:tc>
        <w:tc>
          <w:tcPr>
            <w:tcW w:type="dxa" w:w="3800"/>
          </w:tcPr>
          <w:p>
            <w:r>
              <w:t>Skor komposit diverifikasi secara independen dan dinyatakan benar. Reimplementasi terpisah dalam Python (docs/verifikasi/verify_score.py, ditulis dari spesifikasi formula, membaca payload mentah dari cache, tidak mengimpor kode aplikasi) menghasilkan skor yang identik untuk BBCA.JK 78,33, BBRI.JK 64,69 dan BIRD.JK 68,33 — selisih nol pada seluruh persentil komponen maupun skor akhir, pada dua sub-sektor dengan ukuran kelompok berbeda (48 dan 12).</w:t>
            </w:r>
          </w:p>
        </w:tc>
        <w:tc>
          <w:tcPr>
            <w:tcW w:type="dxa" w:w="3726"/>
          </w:tcPr>
          <w:p>
            <w:r>
              <w:t>Sebelum ini seluruh pengecekan hanya menguji konsistensi internal. Tiga lapis bukti dikumpulkan: (1) reimplementasi terpisah cocok; (2) persentil dihitung ulang dengan tangan — BBCA memiliki ROE tertinggi di antara 48 bank sehingga persentilnya (47 + 1/2)/48 = 98,9583, dan 27 bank ber-DER lebih rendah sehingga persentil DER-nya 100 - (27 + 1/2)/48 = 42,7083; (3) keempat rasio arah-positif direproduksi persis dari baris laporan keuangan mentah pada payload yang sama (ROE = earnings/total_equity, ROA = earnings/total_assets, NPM = earnings/revenue, Margin AKO = operating_cash_flow/revenue). TEMUAN PENTING: debt_to_equity_ratio milik Sectors ternyata total_liabilities/total_equity, BUKAN total_debt/total_equity (untuk BBCA 4,63 versus 0,0085). Perbandingan antar-emiten tetap adil karena seluruh anggota kelompok diukur dengan cara yang sama, tetapi label "Kesehatan Utang" berpotensi menyesatkan pemula pada emiten bank, karena simpanan nasabah ikut terhitung sebagai liabilitas. BATAS VERIFIKASI: konvensi persentil (average-rank, target ikut dalam kelompok, nilai kosong dikeluarkan) dibaca dari spesifikasi, jadi yang dibuktikan adalah kebenaran aritmetika dan pemetaan data, bukan bahwa konvensi itu satu-satunya yang benar. Konsekuensi konvensi ini: emiten terbaik di kelompoknya memperoleh persentil 98,96, bukan 100. Jalur partial (tepat satu komponen kosong, bobot dinormalisasi ulang) tidak tersentuh oleh satu pun dari 198 emiten ter-cache, sehingga hanya diuji dengan kasus sintetis — kedua implementasi sepakat pada bobot 0,3125 / 0,25 / 0,25 / 0,1875 dan skor 50.</w:t>
            </w:r>
          </w:p>
        </w:tc>
      </w:tr>
      <w:tr>
        <w:tc>
          <w:tcPr>
            <w:tcW w:type="dxa" w:w="1500"/>
          </w:tcPr>
          <w:p>
            <w:r>
              <w:t>5 September 2026</w:t>
            </w:r>
          </w:p>
        </w:tc>
        <w:tc>
          <w:tcPr>
            <w:tcW w:type="dxa" w:w="3800"/>
          </w:tcPr>
          <w:p>
            <w:r>
              <w:t>Seluruh kueri berentang tanggal berpindah ke helper recentRange(hari) di backend/src/data/dateRange.ts, yang hanya mengirim `start` dan men-snap-nya ke awal pekan. todayIso() dihapus. Pemformatan tanggal juga dipindah ke waktu lokal, menggantikan toISOString() yang melaporkan hari UTC dan berganti tujuh jam lebih awal bagi pengguna WIB.</w:t>
            </w:r>
          </w:p>
        </w:tc>
        <w:tc>
          <w:tcPr>
            <w:tcW w:type="dxa" w:w="3726"/>
          </w:tcPr>
          <w:p>
            <w:r>
              <w:t>Cache dikunci pada URL penuh, sehingga rentang yang dibangun dari "hari ini" mencetak kunci baru setiap hari kalender: membuka halaman emiten yang sama pada hari berbeda menagih ulang kredit harga berapa pun TTL-nya. Ini terbukti hidup pada sesi ini — membuka satu halaman detail BBCA menghabiskan 3 kredit meski BBCA emiten paling sering diuji. Pengujian langsung membuktikan `end` tidak diperlukan: ketiga endpoint berentang tanggal mengembalikan bar terbaru sampai hari bursa terakhir bila hanya diberi `start`, sehingga menghapus `end` justru menaikkan kesegaran data dibandingkan men-snap `end` ke hari Senin. Snap mingguan pada `start` menyisakan satu penyegaran per kueri per pekan; stabilitas URL Senin sampai Minggu diverifikasi dengan menjalankan ekspresi anchor untuk sepuluh hari berturut-turut. Sapuan menyeluruh memastikan tidak ada sumber tanggal lain yang masuk URL: strip lima indeks komparasi dipanggil tanpa parameter sejak awal, dan report_date pada financials.ts tidak pernah diisi pemanggil mana pun.</w:t>
            </w:r>
          </w:p>
        </w:tc>
      </w:tr>
      <w:tr>
        <w:tc>
          <w:tcPr>
            <w:tcW w:type="dxa" w:w="1500"/>
          </w:tcPr>
          <w:p>
            <w:r>
              <w:t>6 September 2026</w:t>
            </w:r>
          </w:p>
        </w:tc>
        <w:tc>
          <w:tcPr>
            <w:tcW w:type="dxa" w:w="3800"/>
          </w:tcPr>
          <w:p>
            <w:r>
              <w:t>Halaman /berita memakai satu korpus yang diambil sekali lewat endpoint baru GET /api/market/berita (backend/src/analysis/newsIndex.ts). Backend menghitung seluruh facet — tag, emiten, sub-sektor, media penerbit, sumbu topik — dari korpus yang sama, lalu browser menyaring, mengurutkan dan memenggal halaman secara lokal. Tag sentimen kini dibuang di lapisan data (news.ts), bukan di komponen.</w:t>
            </w:r>
          </w:p>
        </w:tc>
        <w:tc>
          <w:tcPr>
            <w:tcW w:type="dxa" w:w="3726"/>
          </w:tcPr>
          <w:p>
            <w:r>
              <w:t>Sectors menagih 1 kredit per panggilan berita dan memotong limit di 30, sehingga menyaring di sisi server berarti membayar setiap kali pengguna mengetik satu huruf. Menghitung facet di backend dari korpus yang sama menjamin angka pada panel kanan selalu cocok dengan daftar yang tampil. Pembuangan tag sentimen dipindah ke lapisan data agar tidak bergantung pada setiap komponen mengingat untuk menyaringnya. PENYIMPANGAN DARI MOCKUP, disengaja: panel Aksi Korporasi Terdekat dan formulir Morning Brief dihapus karena tidak ada endpoint yang mendukungnya dan akan menjadi kolom mati; kartu Riset Sekuritas dengan target harga dan Rekomendasi Buy tidak direplikasi karena melanggar larangan rekomendasi investasi; penyaring rentang tanggal dihapus karena 120 artikel terbaru hanya mencakup tiga hari kalender sehingga kontrolnya tidak akan pernah mengubah hasil. Penggantinya memakai data nyata: peringkat tag, peringkat emiten yang paling sering disebut, sumbu fokus pemberitaan milik Sectors, dan peringkat media penerbit, seluruhnya dengan bar pembanding.</w:t>
            </w:r>
          </w:p>
        </w:tc>
      </w:tr>
      <w:tr>
        <w:tc>
          <w:tcPr>
            <w:tcW w:type="dxa" w:w="1500"/>
          </w:tcPr>
          <w:p>
            <w:r>
              <w:t>6 September 2026</w:t>
            </w:r>
          </w:p>
        </w:tc>
        <w:tc>
          <w:tcPr>
            <w:tcW w:type="dxa" w:w="3800"/>
          </w:tcPr>
          <w:p>
            <w:r>
              <w:t>Route /berita/:id dibuat (frontend/src/pages/NewsDetailPage.tsx). Penanda artikel adalah 10 karakter pertama SHA-1 dari URL sumber, dihitung backend di newsIndex.ts. Halaman ini memakai korpus yang sama dengan /berita dan mencari artikelnya di sisi klien, sehingga membukanya berbiaya 0 kredit. Seluruh kartu di halaman indeks kini menuju detail internal, bukan langsung ke situs penerbit.</w:t>
            </w:r>
          </w:p>
        </w:tc>
        <w:tc>
          <w:tcPr>
            <w:tcW w:type="dxa" w:w="3726"/>
          </w:tcPr>
          <w:p>
            <w:r>
              <w:t>Sectors tidak memberi id pada artikel; URL sumber satu-satunya penanda unik yang stabil lintas pengambilan korpus, jadi ringkasannya dipakai agar tautan tidak basi setiap fetch. KEPUTUSAN RANCANGAN: `body` hanya ringkasan — panjang median 724 karakter, maksimum 1.579 — sehingga halaman ini dirancang sebagai halaman KONTEKS, bukan pembaca artikel: ringkasan resmi, emiten yang disebut beserta jumlah pemberitaannya, profil isi, dan berita terkait, dengan kotak pernyataan tegas bahwa ini bukan naskah penuh dan tombol ke penerbit aslinya. Menyajikannya seolah artikel utuh akan menyesatkan sekaligus menyalin karya penerbit. Berita terkait diperingkat dengan skor kesamaan: emiten sama bernilai 4, sub-sektor sama 2, ditambah 1 per tag yang beririsan — diverifikasi pada artikel Waskita, keempat hasil teratasnya memang soal restrukturisasi obligasi emiten yang sama. PENYIMPANGAN DARI MOCKUP: panel Sectors AI Sentiment Score 8,5/10 BULLISH tidak direplikasi karena melanggar larangan menyatakan pandangan atas arah harga; penggantinya panel Profil Isi Artikel yang membaca sumbu `dimension` milik Sectors (skala 0/1/2, ditampilkan sebagai Utama/Sekunder). Tabel jadwal aksi korporasi, harga real-time pada strip emiten, dan formulir notifikasi dihapus karena tidak ada datanya.</w:t>
            </w:r>
          </w:p>
        </w:tc>
      </w:tr>
      <w:tr>
        <w:tc>
          <w:tcPr>
            <w:tcW w:type="dxa" w:w="1500"/>
          </w:tcPr>
          <w:p>
            <w:r>
              <w:t>6 September 2026</w:t>
            </w:r>
          </w:p>
        </w:tc>
        <w:tc>
          <w:tcPr>
            <w:tcW w:type="dxa" w:w="3800"/>
          </w:tcPr>
          <w:p>
            <w:r>
              <w:t>Seluruh kontrol mati dihapus dan tooltip glosarium (F-05 / task 31) dipasang. Navigasi: tiga menu tanpa halaman diselesaikan — Sektor IDX dan Screener menjadi jangkar ke section nyata di dashboard, Chart &amp; Analisis dan Komunitas &amp; Ide dihapus. Tipografi nav dinaikkan dari 12px ke 14px dan ambang tampilnya diturunkan dari xl ke lg. Baris navigasi ringkas ditambahkan untuk layar di bawah lg. Dua tombol nonaktif pada FeaturedStockPanel diganti satu tautan ke halaman analisis emiten. Label komponen skor 'Kesehatan Utang (DER)' diubah menjadi 'Struktur Modal (DER)'. Endpoint baru GET /api/market/glosarium menyajikan kamus istilah ke antarmuka.</w:t>
            </w:r>
          </w:p>
        </w:tc>
        <w:tc>
          <w:tcPr>
            <w:tcW w:type="dxa" w:w="3726"/>
          </w:tcPr>
          <w:p>
            <w:r>
              <w:t>Menu dan tombol yang selamanya nonaktif terbaca sebagai prototipe setengah jadi, sementara usability berbobot 40 persen. Watchlist dan price alert membutuhkan akun serta pengiriman notifikasi yang tidak ada pada produk ini, jadi keduanya tidak akan pernah hidup dan lebih jujur dihapus daripada dibiarkan abu-abu. Chart tidak diberi halaman tersendiri karena sudah hidup di dalam tiap halaman emiten; Komunitas tidak punya data sama sekali. Label DER diubah karena verifikasi 5 September membuktikan pembilangnya total liabilitas, sehingga 'Kesehatan Utang' menyesatkan untuk bank yang liabilitasnya sebagian besar simpanan nasabah; definisi di kamus istilah diperbaiki senada dan kini menjelaskan bahwa angka itu hanya bermakna dibandingkan sesama sub-sektor. Tooltip mengambil definisi dari berkas yang sama dengan konteks lapisan AI, sehingga penjelasan di antarmuka dan jawaban asisten tidak pernah berbeda. Dua kegagalan senyap ditemukan lewat pengujian di peramban, bukan lewat kompilasi: jangkar navigasi memakai scrollIntoView dengan behavior smooth yang digerakkan rAF dan berhenti saat tab tidak digambar sehingga jangkar gagal tanpa error — diganti behavior auto; dan empat dari lima tooltip header screener tidak pernah muncul karena label tampilan dipakai sebagai kunci kamus — kunci glosarium kini dipisahkan dari label tampilan. Lubang lain yang ditemukan sekalian: di bawah lg, nav utama dan kolom pencarian sama-sama tersembunyi sehingga ponsel tidak punya navigasi sama sekali dan halaman berita hanya dapat dicapai dengan mengetik URL.</w:t>
            </w:r>
          </w:p>
        </w:tc>
      </w:tr>
      <w:tr>
        <w:tc>
          <w:tcPr>
            <w:tcW w:type="dxa" w:w="1500"/>
          </w:tcPr>
          <w:p>
            <w:r>
              <w:t>24 September 2026</w:t>
            </w:r>
          </w:p>
        </w:tc>
        <w:tc>
          <w:tcPr>
            <w:tcW w:type="dxa" w:w="3800"/>
          </w:tcPr>
          <w:p>
            <w:r>
              <w:t>Kesegaran cache dinilai saat DIBACA terhadap TTL pemanggil, bukan dari tanggal kedaluwarsa yang dicap saat ditulis (backend/src/data/cache.ts). Muatan harian (harga, indeks, movers, berita, serta bagian laporan overview dan valuation yang memuat harga penutupan) berlaku hingga akhir hari kalender, bukan 24 jam bergulir.</w:t>
            </w:r>
          </w:p>
        </w:tc>
        <w:tc>
          <w:tcPr>
            <w:tcW w:type="dxa" w:w="3726"/>
          </w:tcPr>
          <w:p>
            <w:r>
              <w:t>Audit akhir menemukan dasbor 24 Sep masih menyajikan movers, daftar teramai, dan berita 4 Sep di samping grafik IHSG 22 Sep, dan kartu identitas BBCA menyebut Rp 6.700 per 4 Sep di bawah ticker Rp 6.300 per 23 Sep. Penyebabnya: entri yang ditulis di bawah TTL 30 hari tetap memegang kedaluwarsa itu walau TTL-nya sudah dipangkas. Aturan hari kalender mencegah widget yang diambil pada jam berbeda memotong di sesi berbeda.</w:t>
            </w:r>
          </w:p>
        </w:tc>
      </w:tr>
      <w:tr>
        <w:tc>
          <w:tcPr>
            <w:tcW w:type="dxa" w:w="1500"/>
          </w:tcPr>
          <w:p>
            <w:r>
              <w:t>24 September 2026</w:t>
            </w:r>
          </w:p>
        </w:tc>
        <w:tc>
          <w:tcPr>
            <w:tcW w:type="dxa" w:w="3800"/>
          </w:tcPr>
          <w:p>
            <w:r>
              <w:t>Satu konstanta DEFAULT_GROUP_LIMIT = 150 (backend/src/analysis/screener.ts) dipakai oleh screener, halaman emiten, tabel peer, dan kartu sub-sektor dasbor.</w:t>
            </w:r>
          </w:p>
        </w:tc>
        <w:tc>
          <w:tcPr>
            <w:tcW w:type="dxa" w:w="3726"/>
          </w:tcPr>
          <w:p>
            <w:r>
              <w:t>Persentil bergantung pada siapa anggota kelompoknya. Kartu dasbor sebelumnya hanya menilai 12 emiten pertama ("pemimpin" perbankan dipilih dari 12 dari 48 bank, dengan skor yang tidak sama dengan skor di halamannya sendiri), dan screener berbatas 100 membuang dua dari 102 emiten food-beverage. Konsekuensi: pemuatan pertama dasbor dengan cache kosong naik ke sekitar 370 kredit; sesudahnya laporan keuangan ter-cache 30 hari.</w:t>
            </w:r>
          </w:p>
        </w:tc>
      </w:tr>
      <w:tr>
        <w:tc>
          <w:tcPr>
            <w:tcW w:type="dxa" w:w="1500"/>
          </w:tcPr>
          <w:p>
            <w:r>
              <w:t>24 September 2026</w:t>
            </w:r>
          </w:p>
        </w:tc>
        <w:tc>
          <w:tcPr>
            <w:tcW w:type="dxa" w:w="3800"/>
          </w:tcPr>
          <w:p>
            <w:r>
              <w:t>Definisi glosarium Skor Komposit dikoreksi menjadi rata-rata tertimbang lima persentil, dan konteks AI halaman emiten diberi blok valuasi (P/E, rata-rata P/E peer, PBV, rentang P/E historis) beserta larangan eksplisit menyimpulkan murah/mahal.</w:t>
            </w:r>
          </w:p>
        </w:tc>
        <w:tc>
          <w:tcPr>
            <w:tcW w:type="dxa" w:w="3726"/>
          </w:tcPr>
          <w:p>
            <w:r>
              <w:t>Definisi lama ("lebih baik daripada 78 dari tiap 100 pesaing") adalah definisi persentil dan bertentangan dengan peringkat 2 dari 48 di halaman yang sama; asisten AI ikut mengulanginya. Tanpa blok valuasi, asisten menjawab tidak ada data P/E padahal P/E adalah angka terbesar di kartu jawaban nomor 2. Uji adversarial diulang sesudahnya: 0 dari 12 jawaban terflag.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