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bahwa nilai volume atau harga terkini menyimpang melampaui ambang tertentu dari sebaran historisnya.</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keberadaan pola candlestick tertentu pada suatu tanggal, beserta kategori pola tersebut.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rata-rata bergerak dan indeks kekuatan relatif pada suatu tanggal.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r>
        <w:tc>
          <w:tcPr>
            <w:tcW w:type="dxa" w:w="1600"/>
          </w:tcPr>
          <w:p>
            <w:r>
              <w:t>4 September 2026</w:t>
            </w:r>
          </w:p>
        </w:tc>
        <w:tc>
          <w:tcPr>
            <w:tcW w:type="dxa" w:w="4200"/>
          </w:tcPr>
          <w:p>
            <w:r>
              <w:t>Implementasi F-05 (kamus istilah, konteks AI, panel tanya jawab) -- seluruhnya dari cache BBCA/Banks yang sudah ada, tidak ada panggilan Sectors baru</w:t>
            </w:r>
          </w:p>
        </w:tc>
        <w:tc>
          <w:tcPr>
            <w:tcW w:type="dxa" w:w="1600"/>
          </w:tcPr>
          <w:p>
            <w:r>
              <w:t>0</w:t>
            </w:r>
          </w:p>
        </w:tc>
        <w:tc>
          <w:tcPr>
            <w:tcW w:type="dxa" w:w="1626"/>
          </w:tcPr>
          <w:p>
            <w:r>
              <w:t>947</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