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pemeriksaan emiten terhadap kriteria kerangka investasi klasik yang dipilih pengguna.</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bahwa nilai volume atau harga terkini menyimpang melampaui ambang tertentu dari sebaran historisnya.</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keberadaan pola candlestick tertentu pada suatu tanggal, beserta kategori pola tersebut.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rata-rata bergerak dan indeks kekuatan relatif pada suatu tanggal.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r>
        <w:tc>
          <w:tcPr>
            <w:tcW w:type="dxa" w:w="1600"/>
          </w:tcPr>
          <w:p>
            <w:r>
              <w:t>4 September 2026</w:t>
            </w:r>
          </w:p>
        </w:tc>
        <w:tc>
          <w:tcPr>
            <w:tcW w:type="dxa" w:w="4200"/>
          </w:tcPr>
          <w:p>
            <w:r>
              <w:t>Uji F-02 Screener (10 bank, verifikasi konsistensi skor dengan F-01 + filter komponen)</w:t>
            </w:r>
          </w:p>
        </w:tc>
        <w:tc>
          <w:tcPr>
            <w:tcW w:type="dxa" w:w="1600"/>
          </w:tcPr>
          <w:p>
            <w:r>
              <w:t>3</w:t>
            </w:r>
          </w:p>
        </w:tc>
        <w:tc>
          <w:tcPr>
            <w:tcW w:type="dxa" w:w="1626"/>
          </w:tcPr>
          <w:p>
            <w:r>
              <w:t>981</w:t>
            </w:r>
          </w:p>
        </w:tc>
      </w:tr>
      <w:tr>
        <w:tc>
          <w:tcPr>
            <w:tcW w:type="dxa" w:w="1600"/>
          </w:tcPr>
          <w:p>
            <w:r>
              <w:t>4 September 2026</w:t>
            </w:r>
          </w:p>
        </w:tc>
        <w:tc>
          <w:tcPr>
            <w:tcW w:type="dxa" w:w="4200"/>
          </w:tcPr>
          <w:p>
            <w:r>
              <w:t>Uji F-03 Perbandingan Peer (BBCA, 10 bank) -- seluruhnya dari cache F-01/F-02</w:t>
            </w:r>
          </w:p>
        </w:tc>
        <w:tc>
          <w:tcPr>
            <w:tcW w:type="dxa" w:w="1600"/>
          </w:tcPr>
          <w:p>
            <w:r>
              <w:t>0</w:t>
            </w:r>
          </w:p>
        </w:tc>
        <w:tc>
          <w:tcPr>
            <w:tcW w:type="dxa" w:w="1626"/>
          </w:tcPr>
          <w:p>
            <w:r>
              <w:t>981</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