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r>
        <w:tc>
          <w:tcPr>
            <w:tcW w:type="dxa" w:w="850"/>
          </w:tcPr>
          <w:p>
            <w:r>
              <w:t>E-10</w:t>
            </w:r>
          </w:p>
        </w:tc>
        <w:tc>
          <w:tcPr>
            <w:tcW w:type="dxa" w:w="2336"/>
          </w:tcPr>
          <w:p>
            <w:r>
              <w:t>GET /v2/index-daily/{index_code}/ (Index Daily)</w:t>
            </w:r>
          </w:p>
        </w:tc>
        <w:tc>
          <w:tcPr>
            <w:tcW w:type="dxa" w:w="2549"/>
          </w:tcPr>
          <w:p>
            <w:r>
              <w:t>Harga penutupan indeks (IHSG dkk.) harian, dipakai untuk widget ringkasan pasar di halaman utama.</w:t>
            </w:r>
          </w:p>
        </w:tc>
        <w:tc>
          <w:tcPr>
            <w:tcW w:type="dxa" w:w="2018"/>
          </w:tcPr>
          <w:p>
            <w:r>
              <w:t>Halaman utama (market overview)</w:t>
            </w:r>
          </w:p>
        </w:tc>
        <w:tc>
          <w:tcPr>
            <w:tcW w:type="dxa" w:w="1273"/>
          </w:tcPr>
          <w:p>
            <w:r>
              <w:t>1 kredit per panggilan.</w:t>
            </w:r>
          </w:p>
        </w:tc>
      </w:tr>
      <w:tr>
        <w:tc>
          <w:tcPr>
            <w:tcW w:type="dxa" w:w="850"/>
          </w:tcPr>
          <w:p>
            <w:r>
              <w:t>E-11</w:t>
            </w:r>
          </w:p>
        </w:tc>
        <w:tc>
          <w:tcPr>
            <w:tcW w:type="dxa" w:w="2336"/>
          </w:tcPr>
          <w:p>
            <w:r>
              <w:t>GET /v2/idx-total/ (IDX Market Summary)</w:t>
            </w:r>
          </w:p>
        </w:tc>
        <w:tc>
          <w:tcPr>
            <w:tcW w:type="dxa" w:w="2549"/>
          </w:tcPr>
          <w:p>
            <w:r>
              <w:t>Total kapitalisasi pasar IDX harian, dipakai untuk widget ringkasan pasar.</w:t>
            </w:r>
          </w:p>
        </w:tc>
        <w:tc>
          <w:tcPr>
            <w:tcW w:type="dxa" w:w="2018"/>
          </w:tcPr>
          <w:p>
            <w:r>
              <w:t>Halaman utama (market overview)</w:t>
            </w:r>
          </w:p>
        </w:tc>
        <w:tc>
          <w:tcPr>
            <w:tcW w:type="dxa" w:w="1273"/>
          </w:tcPr>
          <w:p>
            <w:r>
              <w:t>1 kredit per panggilan.</w:t>
            </w:r>
          </w:p>
        </w:tc>
      </w:tr>
      <w:tr>
        <w:tc>
          <w:tcPr>
            <w:tcW w:type="dxa" w:w="850"/>
          </w:tcPr>
          <w:p>
            <w:r>
              <w:t>E-12</w:t>
            </w:r>
          </w:p>
        </w:tc>
        <w:tc>
          <w:tcPr>
            <w:tcW w:type="dxa" w:w="2336"/>
          </w:tcPr>
          <w:p>
            <w:r>
              <w:t>GET /v2/companies/top-changes/ (Top Company Movers)</w:t>
            </w:r>
          </w:p>
        </w:tc>
        <w:tc>
          <w:tcPr>
            <w:tcW w:type="dxa" w:w="2549"/>
          </w:tcPr>
          <w:p>
            <w:r>
              <w:t>Top gainers/losers harian, dipakai untuk widget ringkasan pasar.</w:t>
            </w:r>
          </w:p>
        </w:tc>
        <w:tc>
          <w:tcPr>
            <w:tcW w:type="dxa" w:w="2018"/>
          </w:tcPr>
          <w:p>
            <w:r>
              <w:t>Halaman utama (market overview)</w:t>
            </w:r>
          </w:p>
        </w:tc>
        <w:tc>
          <w:tcPr>
            <w:tcW w:type="dxa" w:w="1273"/>
          </w:tcPr>
          <w:p>
            <w:r>
              <w:t>1 kredit per kombinasi klasifikasi x periode (2 kredit untuk gainers+losers periode 1D).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r>
        <w:tc>
          <w:tcPr>
            <w:tcW w:type="dxa" w:w="1600"/>
          </w:tcPr>
          <w:p>
            <w:r>
              <w:t>4 September 2026</w:t>
            </w:r>
          </w:p>
        </w:tc>
        <w:tc>
          <w:tcPr>
            <w:tcW w:type="dxa" w:w="4200"/>
          </w:tcPr>
          <w:p>
            <w:r>
              <w:t>Widget market overview (IHSG + kapitalisasi pasar + top gainers/losers) di halaman utama</w:t>
            </w:r>
          </w:p>
        </w:tc>
        <w:tc>
          <w:tcPr>
            <w:tcW w:type="dxa" w:w="1600"/>
          </w:tcPr>
          <w:p>
            <w:r>
              <w:t>4</w:t>
            </w:r>
          </w:p>
        </w:tc>
        <w:tc>
          <w:tcPr>
            <w:tcW w:type="dxa" w:w="1626"/>
          </w:tcPr>
          <w:p>
            <w:r>
              <w:t>~942</w:t>
            </w:r>
          </w:p>
        </w:tc>
      </w:tr>
      <w:tr>
        <w:tc>
          <w:tcPr>
            <w:tcW w:type="dxa" w:w="1600"/>
          </w:tcPr>
          <w:p>
            <w:r>
              <w:t>4 September 2026</w:t>
            </w:r>
          </w:p>
        </w:tc>
        <w:tc>
          <w:tcPr>
            <w:tcW w:type="dxa" w:w="4200"/>
          </w:tcPr>
          <w:p>
            <w:r>
              <w:t>REKONSILIASI FINAL dari dashboard Sectors (Plans &amp; Usage): 195 request periode ini, 100% success. Seluruh estimasi manual di atas baris ini TIDAK AKURAT (total tercatat manual ~58, realita 195) -- gunakan angka dashboard sebagai kebenaran, bukan log manual di atas.</w:t>
            </w:r>
          </w:p>
        </w:tc>
        <w:tc>
          <w:tcPr>
            <w:tcW w:type="dxa" w:w="1600"/>
          </w:tcPr>
          <w:p>
            <w:r>
              <w:t>195 (aktual, dari dashboard)</w:t>
            </w:r>
          </w:p>
        </w:tc>
        <w:tc>
          <w:tcPr>
            <w:tcW w:type="dxa" w:w="1626"/>
          </w:tcPr>
          <w:p>
            <w:r>
              <w:t>805 (aktual, dari dashboard, expires 30 Sep 2026)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