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Rata-rata tertimbang dari persentil 5 komponen (dalam sub-sektor yang sama): ROE 25%, Margin Laba Bersih 20%, DER 20% (arah dibalik, rendah=baik), Margin Arus Kas Operasional 20%, ROA 15%. Skala 0-100. Emiten kehilangan &gt;1 komponen tidak diberi skor (data tidak memadai); kehilangan 1 komponen, bobot 4 komponen sisanya dinormalisasi ulang secara proporsional.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Nilai persentil per komponen (ROE, ROA, Margin Laba Bersih, DER, Margin Arus Kas Operasional) dari section financials.historical_financial_ratio tahun fiskal terbaru, disimpan terpisah agar asal-usul Skor Komposit dapat ditelusuri per komponen.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Hasil evaluasi F-Score Adaptasi Piotroski (6 kriteria year-over-year: ROA positif, arus kas operasional positif, ROA naik, arus kas operasional &gt; laba bersih, DER turun, perputaran aset naik). Ditampilkan sebagai jumlah kriteria terpenuhi dari yang dapat dievaluasi, bukan anjuran.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Z-score volume dan perubahan harga harian terhadap baseline historis emiten itu sendiri (bukan dibanding emiten lain), min. 10 hari data. Ambang: |z| &gt; 2 standar deviasi. Faktual murni -- tidak menyatakan penyebab atau perkiraan kelanjutan pergerakan. Bila anomali terdeteksi, ditampilkan hingga 5 berita terkait sebagai kemungkinan konteks (bukan klaim sebab-akibat).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12 pola candlestick baku (doji, hammer, engulfing, harami, morning/evening star, three white soldiers/black crows, dst.) dideteksi via library technicalindicators, discan per tanggal atas 90 hari data harga terakhir. Setiap penanda menyimpan kategori (reversal-bullish/reversal-bearish/indecision) dan definisi baku, disertai peringatan keandalan bervariasi.</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MA10 dan MA20 (rata-rata penutupan 10/20 hari) serta RSI14 (indeks kekuatan relatif 14 hari), dihitung via library technicalindicators dari data harga yang sama dengan F-06/F-07 (tidak ada panggilan data baru). Digambar pada grafik yang sama dengan candlestick, RSI pada panel terpisah karena skalanya 0-100.</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Pr>
          <w:p>
            <w:r>
              <w:t>D-09</w:t>
            </w:r>
          </w:p>
        </w:tc>
        <w:tc>
          <w:tcPr>
            <w:tcW w:type="dxa" w:w="2124"/>
          </w:tcPr>
          <w:p>
            <w:r>
              <w:t>Kemiripan Pola Lintas Saham</w:t>
            </w:r>
          </w:p>
        </w:tc>
        <w:tc>
          <w:tcPr>
            <w:tcW w:type="dxa" w:w="4672"/>
          </w:tcPr>
          <w:p>
            <w:r>
              <w:t>Skor kemiripan (0-1) antara bentuk pergerakan harga 20 hari terakhir emiten dengan window 20 hari pada emiten lain di sub-sektor sama (jarak Euclidean atas harga ternormalisasi), beserta perubahan harga N hari setelah window pembanding tersebut. Fitur opsional (F-09/P4), disajikan sebagai laporan historis dengan peringatan eksplisit bahwa kemiripan masa lalu tidak menjamin pengulangan.</w:t>
            </w:r>
          </w:p>
        </w:tc>
        <w:tc>
          <w:tcPr>
            <w:tcW w:type="dxa" w:w="1380"/>
          </w:tcPr>
          <w:p>
            <w:r>
              <w:t>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r>
        <w:t>Catatan: angka pada kolom Kredit Terpakai untuk entri sebelum baris eksplorasi Food &amp; Beverage bertanda ~ adalah estimasi manual berdasarkan jumlah panggilan API yang dilakukan, bukan hasil pembacaan langsung dari dashboard Sectors. Entri berikutnya diverifikasi terhadap usage-log CSV resmi dari dashboard.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Pr>
          <w:p>
            <w:r>
              <w:t>4 September 2026</w:t>
            </w:r>
          </w:p>
        </w:tc>
        <w:tc>
          <w:tcPr>
            <w:tcW w:type="dxa" w:w="4200"/>
          </w:tcPr>
          <w:p>
            <w:r>
              <w:t>Uji F-01 Skor Komposit (BBCA + 7 peer bank: overview+financials target, screener, financials tiap peer)</w:t>
            </w:r>
          </w:p>
        </w:tc>
        <w:tc>
          <w:tcPr>
            <w:tcW w:type="dxa" w:w="1600"/>
          </w:tcPr>
          <w:p>
            <w:r>
              <w:t>10</w:t>
            </w:r>
          </w:p>
        </w:tc>
        <w:tc>
          <w:tcPr>
            <w:tcW w:type="dxa" w:w="1626"/>
          </w:tcPr>
          <w:p>
            <w:r>
              <w:t>984</w:t>
            </w:r>
          </w:p>
        </w:tc>
      </w:tr>
      <w:tr>
        <w:tc>
          <w:tcPr>
            <w:tcW w:type="dxa" w:w="1600"/>
          </w:tcPr>
          <w:p>
            <w:r>
              <w:t>4 September 2026</w:t>
            </w:r>
          </w:p>
        </w:tc>
        <w:tc>
          <w:tcPr>
            <w:tcW w:type="dxa" w:w="4200"/>
          </w:tcPr>
          <w:p>
            <w:r>
              <w:t>Uji F-02 Screener (10 bank, verifikasi konsistensi skor dengan F-01 + filter komponen)</w:t>
            </w:r>
          </w:p>
        </w:tc>
        <w:tc>
          <w:tcPr>
            <w:tcW w:type="dxa" w:w="1600"/>
          </w:tcPr>
          <w:p>
            <w:r>
              <w:t>3</w:t>
            </w:r>
          </w:p>
        </w:tc>
        <w:tc>
          <w:tcPr>
            <w:tcW w:type="dxa" w:w="1626"/>
          </w:tcPr>
          <w:p>
            <w:r>
              <w:t>981</w:t>
            </w:r>
          </w:p>
        </w:tc>
      </w:tr>
      <w:tr>
        <w:tc>
          <w:tcPr>
            <w:tcW w:type="dxa" w:w="1600"/>
          </w:tcPr>
          <w:p>
            <w:r>
              <w:t>4 September 2026</w:t>
            </w:r>
          </w:p>
        </w:tc>
        <w:tc>
          <w:tcPr>
            <w:tcW w:type="dxa" w:w="4200"/>
          </w:tcPr>
          <w:p>
            <w:r>
              <w:t>Uji F-03 Perbandingan Peer (BBCA, 10 bank) -- seluruhnya dari cache F-01/F-02</w:t>
            </w:r>
          </w:p>
        </w:tc>
        <w:tc>
          <w:tcPr>
            <w:tcW w:type="dxa" w:w="1600"/>
          </w:tcPr>
          <w:p>
            <w:r>
              <w:t>0</w:t>
            </w:r>
          </w:p>
        </w:tc>
        <w:tc>
          <w:tcPr>
            <w:tcW w:type="dxa" w:w="1626"/>
          </w:tcPr>
          <w:p>
            <w:r>
              <w:t>981</w:t>
            </w:r>
          </w:p>
        </w:tc>
      </w:tr>
      <w:tr>
        <w:tc>
          <w:tcPr>
            <w:tcW w:type="dxa" w:w="1600"/>
          </w:tcPr>
          <w:p>
            <w:r>
              <w:t>4 September 2026</w:t>
            </w:r>
          </w:p>
        </w:tc>
        <w:tc>
          <w:tcPr>
            <w:tcW w:type="dxa" w:w="4200"/>
          </w:tcPr>
          <w:p>
            <w:r>
              <w:t>Uji visual frontend end-to-end: screener sub-sektor Transportation (12 emiten baru) + navigasi antar-peer</w:t>
            </w:r>
          </w:p>
        </w:tc>
        <w:tc>
          <w:tcPr>
            <w:tcW w:type="dxa" w:w="1600"/>
          </w:tcPr>
          <w:p>
            <w:r>
              <w:t>~15</w:t>
            </w:r>
          </w:p>
        </w:tc>
        <w:tc>
          <w:tcPr>
            <w:tcW w:type="dxa" w:w="1626"/>
          </w:tcPr>
          <w:p>
            <w:r>
              <w:t>~966</w:t>
            </w:r>
          </w:p>
        </w:tc>
      </w:tr>
      <w:tr>
        <w:tc>
          <w:tcPr>
            <w:tcW w:type="dxa" w:w="1600"/>
          </w:tcPr>
          <w:p>
            <w:r>
              <w:t>4 September 2026</w:t>
            </w:r>
          </w:p>
        </w:tc>
        <w:tc>
          <w:tcPr>
            <w:tcW w:type="dxa" w:w="4200"/>
          </w:tcPr>
          <w:p>
            <w:r>
              <w:t>Implementasi F-04 (F-Score Adaptasi Piotroski) + uji visual: kunjungan halaman detail BBCA meng-expand cache sub-sektor Banks ke skala penuh (~25-48 emiten, groupSize naik dari 10 ke 25)</w:t>
            </w:r>
          </w:p>
        </w:tc>
        <w:tc>
          <w:tcPr>
            <w:tcW w:type="dxa" w:w="1600"/>
          </w:tcPr>
          <w:p>
            <w:r>
              <w:t>19</w:t>
            </w:r>
          </w:p>
        </w:tc>
        <w:tc>
          <w:tcPr>
            <w:tcW w:type="dxa" w:w="1626"/>
          </w:tcPr>
          <w:p>
            <w:r>
              <w:t>947</w:t>
            </w:r>
          </w:p>
        </w:tc>
      </w:tr>
      <w:tr>
        <w:tc>
          <w:tcPr>
            <w:tcW w:type="dxa" w:w="1600"/>
          </w:tcPr>
          <w:p>
            <w:r>
              <w:t>4 September 2026</w:t>
            </w:r>
          </w:p>
        </w:tc>
        <w:tc>
          <w:tcPr>
            <w:tcW w:type="dxa" w:w="4200"/>
          </w:tcPr>
          <w:p>
            <w:r>
              <w:t>Implementasi F-05 (kamus istilah, konteks AI, panel tanya jawab) -- seluruhnya dari cache BBCA/Banks yang sudah ada, tidak ada panggilan Sectors baru</w:t>
            </w:r>
          </w:p>
        </w:tc>
        <w:tc>
          <w:tcPr>
            <w:tcW w:type="dxa" w:w="1600"/>
          </w:tcPr>
          <w:p>
            <w:r>
              <w:t>0</w:t>
            </w:r>
          </w:p>
        </w:tc>
        <w:tc>
          <w:tcPr>
            <w:tcW w:type="dxa" w:w="1626"/>
          </w:tcPr>
          <w:p>
            <w:r>
              <w:t>947</w:t>
            </w:r>
          </w:p>
        </w:tc>
      </w:tr>
      <w:tr>
        <w:tc>
          <w:tcPr>
            <w:tcW w:type="dxa" w:w="1600"/>
          </w:tcPr>
          <w:p>
            <w:r>
              <w:t>4 September 2026</w:t>
            </w:r>
          </w:p>
        </w:tc>
        <w:tc>
          <w:tcPr>
            <w:tcW w:type="dxa" w:w="4200"/>
          </w:tcPr>
          <w:p>
            <w:r>
              <w:t>Implementasi F-07 (pola candlestick) + grafik harga -- seluruhnya dari cache BBCA yang sudah ada</w:t>
            </w:r>
          </w:p>
        </w:tc>
        <w:tc>
          <w:tcPr>
            <w:tcW w:type="dxa" w:w="1600"/>
          </w:tcPr>
          <w:p>
            <w:r>
              <w:t>0</w:t>
            </w:r>
          </w:p>
        </w:tc>
        <w:tc>
          <w:tcPr>
            <w:tcW w:type="dxa" w:w="1626"/>
          </w:tcPr>
          <w:p>
            <w:r>
              <w:t>947</w:t>
            </w:r>
          </w:p>
        </w:tc>
      </w:tr>
      <w:tr>
        <w:tc>
          <w:tcPr>
            <w:tcW w:type="dxa" w:w="1600"/>
          </w:tcPr>
          <w:p>
            <w:r>
              <w:t>4 September 2026</w:t>
            </w:r>
          </w:p>
        </w:tc>
        <w:tc>
          <w:tcPr>
            <w:tcW w:type="dxa" w:w="4200"/>
          </w:tcPr>
          <w:p>
            <w:r>
              <w:t>Implementasi F-08 (MA10/MA20 + RSI14) -- seluruhnya dari cache BBCA yang sudah ada</w:t>
            </w:r>
          </w:p>
        </w:tc>
        <w:tc>
          <w:tcPr>
            <w:tcW w:type="dxa" w:w="1600"/>
          </w:tcPr>
          <w:p>
            <w:r>
              <w:t>0</w:t>
            </w:r>
          </w:p>
        </w:tc>
        <w:tc>
          <w:tcPr>
            <w:tcW w:type="dxa" w:w="1626"/>
          </w:tcPr>
          <w:p>
            <w:r>
              <w:t>947</w:t>
            </w:r>
          </w:p>
        </w:tc>
      </w:tr>
      <w:tr>
        <w:tc>
          <w:tcPr>
            <w:tcW w:type="dxa" w:w="1600"/>
          </w:tcPr>
          <w:p>
            <w:r>
              <w:t>4 September 2026</w:t>
            </w:r>
          </w:p>
        </w:tc>
        <w:tc>
          <w:tcPr>
            <w:tcW w:type="dxa" w:w="4200"/>
          </w:tcPr>
          <w:p>
            <w:r>
              <w:t>Implementasi F-09 (kemiripan pola lintas saham) -- uji dengan 10 kandidat peer Banks</w:t>
            </w:r>
          </w:p>
        </w:tc>
        <w:tc>
          <w:tcPr>
            <w:tcW w:type="dxa" w:w="1600"/>
          </w:tcPr>
          <w:p>
            <w:r>
              <w:t>~1</w:t>
            </w:r>
          </w:p>
        </w:tc>
        <w:tc>
          <w:tcPr>
            <w:tcW w:type="dxa" w:w="1626"/>
          </w:tcPr>
          <w:p>
            <w:r>
              <w:t>~946</w:t>
            </w:r>
          </w:p>
        </w:tc>
      </w:tr>
      <w:tr>
        <w:tc>
          <w:tcPr>
            <w:tcW w:type="dxa" w:w="1600"/>
          </w:tcPr>
          <w:p>
            <w:r>
              <w:t>4 September 2026</w:t>
            </w:r>
          </w:p>
        </w:tc>
        <w:tc>
          <w:tcPr>
            <w:tcW w:type="dxa" w:w="4200"/>
          </w:tcPr>
          <w:p>
            <w:r>
              <w:t>Eksplorasi manual oleh pengerja (screener sub-sektor Food &amp; Beverage ~19 emiten + beberapa daily bank) -- terverifikasi via usage-log CSV resmi dari dashboard Sectors, bukan estimasi.</w:t>
            </w:r>
          </w:p>
        </w:tc>
        <w:tc>
          <w:tcPr>
            <w:tcW w:type="dxa" w:w="1600"/>
          </w:tcPr>
          <w:p>
            <w:r>
              <w:t>24 (dari 24 baris log CSV yang diberikan; log CSV hanya memuat aktivitas terbaru, bukan riwayat penuh)</w:t>
            </w:r>
          </w:p>
        </w:tc>
        <w:tc>
          <w:tcPr>
            <w:tcW w:type="dxa" w:w="1626"/>
          </w:tcPr>
          <w:p>
            <w:r>
              <w:t>Lihat catatan</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