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pemeriksaan emiten terhadap kriteria kerangka investasi klasik yang dipilih pengguna.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