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Gabungan beberapa komponen rasio fundamental yang telah dinormalisasi dan diberi bobot, dinyatakan pada skala nol sampai seratus.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setiap rasio penyusun skor setelah normalisasi, disimpan terpisah agar asal-usul skor dapat ditelusuri.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pemeriksaan emiten terhadap kriteria kerangka investasi klasik yang dipilih pengguna.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bahwa nilai volume atau harga terkini menyimpang melampaui ambang tertentu dari sebaran historisnya.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keberadaan pola candlestick tertentu pada suatu tanggal, beserta kategori pola tersebut.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rata-rata bergerak dan indeks kekuatan relatif pada suatu tanggal.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