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TECHNICAL SPECIFICATION DOCUMENT</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TSD-SH2026-002</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menjelaskan rancangan teknis produk yang didefinisikan pada dokumen PRD-SH2026-001. Dokumen ini menjadi acuan mengenai arsitektur, batas antar komponen, logika perhitungan, serta konvensi kerja. Karena proyek dikerjakan satu orang, seluruh pekerjaan berjalan berurutan, sehingga urutan pengerjaan dan kejelasan batas antar lapisan menjadi penentu utama apakah proyek selesai tepat waktu.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bersifat ringkas dan tidak menggantikan dokumentasi kode. Setiap keputusan teknis yang berubah selama pengembangan wajib dicatat pada bagian sebelas agar riwayat keputusan tetap dapat ditelusuri.</w:t>
      </w:r>
    </w:p>
    <w:p>
      <w:pPr>
        <w:pStyle w:val="Heading1"/>
        <w:spacing w:after="160" w:before="280"/>
        <w:jc w:val="left"/>
      </w:pPr>
      <w:r>
        <w:rPr>
          <w:rFonts w:ascii="Times New Roman" w:cs="Times New Roman" w:eastAsia="Times New Roman" w:hAnsi="Times New Roman"/>
          <w:b/>
          <w:bCs/>
          <w:color w:val="000000"/>
          <w:sz w:val="24"/>
          <w:szCs w:val="24"/>
        </w:rPr>
        <w:t xml:space="preserve">2. Gambaran Arsitektur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Sistem dirancang dalam empat lapisan yang terpisah secara tanggung jawab. Pemisahan ini penting agar lapisan analisis tetap dapat diuji tanpa bergantung pada antarmuka, dan agar lapisan AI tidak pernah menjadi sumber kebenaran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2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Lapisan</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Tanggung Jawab</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Ketergantungan</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Mengambil data dari Sectors melalui MCP atau REST API, melakukan normalisasi bentuk data, dan menyimpan hasil sementara pada cache.</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Menghitung skor komposit, persentil peer, klasifikasi framework, deteksi anomali, pola candlestick, dan indikator teknikal.</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atas keluaran lapisan analisis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penyedia AI generatif</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Antarmuka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Menyajikan hasil analisis, grafik, screener, dan kanal tanya jawab kepada pengguna.</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Lapisan AI</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Aturan arsitektur yang mengikat adalah sebagai berikut. Lapisan AI tidak boleh mengambil data langsung dari sumber data dan hanya menerima hasil perhitungan dari lapisan analisis sebagai konteks. Aturan ini menjaga agar seluruh angka yang disebut AI dapat ditelusuri ke perhitungan yang nyata, sekaligus menjaga posisi AI tetap sebagai lapisan pendukung sesuai batasan B-04 pada dokumen PRD.</w:t>
      </w:r>
    </w:p>
    <w:p>
      <w:pPr>
        <w:pStyle w:val="Heading1"/>
        <w:spacing w:after="160" w:before="280"/>
        <w:jc w:val="left"/>
      </w:pPr>
      <w:r>
        <w:rPr>
          <w:rFonts w:ascii="Times New Roman" w:cs="Times New Roman" w:eastAsia="Times New Roman" w:hAnsi="Times New Roman"/>
          <w:b/>
          <w:bCs/>
          <w:color w:val="000000"/>
          <w:sz w:val="24"/>
          <w:szCs w:val="24"/>
        </w:rPr>
        <w:t xml:space="preserve">3. Stack Teknologi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Kompetisi tidak membatasi pilihan teknologi. Pilihan berikut disusun berdasarkan pertimbangan kecepatan pengembangan dalam waktu terbatas dan kemudahan demonstrasi melalui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Komponen</w:t>
            </w:r>
          </w:p>
        </w:tc>
        <w:tc>
          <w:tcPr>
            <w:tcW w:type="dxa" w:w="2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Pilihan yang Disarankan</w:t>
            </w:r>
          </w:p>
        </w:tc>
        <w:tc>
          <w:tcPr>
            <w:tcW w:type="dxa" w:w="4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produk</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Aplikasi web</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Paling cepat dikembangkan dan paling mudah didemonstrasikan melalui rekaman layar tanpa proses pemasangan.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Antarmuka</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React.js (Vite + TypeScript)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Framework paling interaktif dan familiar untuk membangun UI dashboard, grafik, dan screener yang menarik secara visual. Vite dipilih agar waktu build dan iterasi tetap cepat selama periode development yang terbatas.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Python atau JavaScript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statistik dasar tersedia melalui pustaka standar pada kedua bahasa.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Penyimpanan cache</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Berkas lokal atau basis data ringan</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Cukup untuk skala prototipe, menghemat kredit API, dan memungkinkan demonstrasi berjalan tanpa koneksi langsung ke sumber data.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Google AI Studio (Gemini API) - model gemini-2.5-flash atau gemini-2.0-flash</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Tersedia tingkat gratis (free tier) dengan kuota harian yang cukup untuk pengembangan dan demo, sehingga menghemat anggaran di luar kredit Sectors. Upgrade ke billing berbayar hanya dilakukan jika kuota gratis terbukti tidak cukup.</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Deployment</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Opsional</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 tidak mewajibkan deployment. Repositori publik dan video demonstrasi sudah memenuhi syarat kelayakan.</w:t>
            </w:r>
          </w:p>
        </w:tc>
      </w:tr>
    </w:tbl>
    <w:p>
      <w:pPr>
        <w:pStyle w:val="Heading1"/>
        <w:spacing w:after="160" w:before="280"/>
        <w:jc w:val="left"/>
      </w:pPr>
      <w:r>
        <w:rPr>
          <w:rFonts w:ascii="Times New Roman" w:cs="Times New Roman" w:eastAsia="Times New Roman" w:hAnsi="Times New Roman"/>
          <w:b/>
          <w:bCs/>
          <w:color w:val="000000"/>
          <w:sz w:val="24"/>
          <w:szCs w:val="24"/>
        </w:rPr>
        <w:t xml:space="preserve">4. Alur Data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Alur data berjalan searah dari sumber data menuju antarmuka, dengan cache sebagai perantara yang menahan pemakaian kredit API.</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data memanggil Sectors untuk mengambil data emiten, rasio fundamental, dan harga historis sesuai kebutuhan fitur yang sedang diakses.</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Hasil pemanggilan disimpan pada cache beserta penanda waktu, sehingga pemanggilan berulang dalam rentang waktu tertentu dilayani dari cache.</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analisis membaca data yang telah dinormalisasi, lalu menghasilkan skor, persentil, klasifikasi, penanda anomali, penanda pola, dan nilai indikator.</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antarmuka menampilkan hasil analisis kepada pengguna dalam bentuk grafik, tabel peringkat, dan halaman detail emiten.</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Ketika pengguna meminta penjelasan, lapisan AI menerima hasil analisis yang relevan sebagai konteks, lalu menghasilkan penjelasan berbahasa awam.</w:t>
      </w:r>
    </w:p>
    <w:p>
      <w:pPr>
        <w:pStyle w:val="Heading1"/>
        <w:spacing w:after="160" w:before="280"/>
        <w:jc w:val="left"/>
      </w:pPr>
      <w:r>
        <w:rPr>
          <w:rFonts w:ascii="Times New Roman" w:cs="Times New Roman" w:eastAsia="Times New Roman" w:hAnsi="Times New Roman"/>
          <w:b/>
          <w:bCs/>
          <w:color w:val="000000"/>
          <w:sz w:val="24"/>
          <w:szCs w:val="24"/>
        </w:rPr>
        <w:t xml:space="preserve">5. Logika Perhitungan</w:t>
      </w:r>
    </w:p>
    <w:p>
      <w:pPr>
        <w:pStyle w:val="Heading2"/>
        <w:spacing w:after="120" w:before="220"/>
        <w:jc w:val="left"/>
      </w:pPr>
      <w:r>
        <w:rPr>
          <w:rFonts w:ascii="Times New Roman" w:cs="Times New Roman" w:eastAsia="Times New Roman" w:hAnsi="Times New Roman"/>
          <w:b/>
          <w:bCs/>
          <w:color w:val="000000"/>
          <w:sz w:val="24"/>
          <w:szCs w:val="24"/>
        </w:rPr>
        <w:t xml:space="preserve">5.1 Skor Komposit Fundamental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Skor komposit disusun dari beberapa komponen rasio yang masing-masing dinormalisasi terlebih dahulu ke skala yang sama, kemudian digabungkan menggunakan bobot yang ditetapkan tim. Normalisasi dilakukan relatif terhadap sebaran nilai pada sektor yang sama, bukan terhadap nilai absolut, karena rentang wajar setiap rasio berbeda antar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Bobot yang dipilih wajib didokumentasikan beserta alasannya di dalam kode maupun di dalam produk, karena transparansi perhitungan merupakan bagian dari nilai produk dan menjadi pembeda terhadap produk yang hanya menampilkan angka tanpa penjelasan.</w:t>
      </w:r>
    </w:p>
    <w:p>
      <w:pPr>
        <w:spacing w:after="120" w:line="276"/>
        <w:jc w:val="both"/>
      </w:pPr>
      <w:r>
        <w:rPr>
          <w:rFonts w:ascii="Times New Roman" w:cs="Times New Roman" w:eastAsia="Times New Roman" w:hAnsi="Times New Roman"/>
          <w:b/>
          <w:bCs/>
          <w:i w:val="false"/>
          <w:iCs w:val="false"/>
          <w:color w:val="000000"/>
          <w:sz w:val="24"/>
          <w:szCs w:val="24"/>
        </w:rPr>
        <w:t xml:space="preserve">Penanganan data tidak lengkap ditetapkan sebagai berikut. Emiten yang kehilangan lebih dari satu komponen penyusun skor tidak diberi skor, melainkan ditandai sebagai data tidak memadai. Memberi skor pada data tidak lengkap akan menghasilkan peringkat yang menyesatkan.</w:t>
      </w:r>
    </w:p>
    <w:p>
      <w:pPr>
        <w:pStyle w:val="Heading2"/>
        <w:spacing w:after="120" w:before="220"/>
        <w:jc w:val="left"/>
      </w:pPr>
      <w:r>
        <w:rPr>
          <w:rFonts w:ascii="Times New Roman" w:cs="Times New Roman" w:eastAsia="Times New Roman" w:hAnsi="Times New Roman"/>
          <w:b/>
          <w:bCs/>
          <w:color w:val="000000"/>
          <w:sz w:val="24"/>
          <w:szCs w:val="24"/>
        </w:rPr>
        <w:t xml:space="preserve">5.2 Persentil Peer dan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Kelompok pembanding dibentuk dari emiten yang berada pada sub-sektor yang sama. Untuk setiap metrik, posisi emiten dihitung sebagai persentil terhadap seluruh anggota kelompok. Jumlah anggota kelompok wajib ditampilkan bersama hasilnya, karena persentil pada kelompok yang sangat kecil tidak bermakna dan berpotensi menyesatkan pengguna.</w:t>
      </w:r>
    </w:p>
    <w:p>
      <w:pPr>
        <w:pStyle w:val="Heading2"/>
        <w:spacing w:after="120" w:before="220"/>
        <w:jc w:val="left"/>
      </w:pPr>
      <w:r>
        <w:rPr>
          <w:rFonts w:ascii="Times New Roman" w:cs="Times New Roman" w:eastAsia="Times New Roman" w:hAnsi="Times New Roman"/>
          <w:b/>
          <w:bCs/>
          <w:color w:val="000000"/>
          <w:sz w:val="24"/>
          <w:szCs w:val="24"/>
        </w:rPr>
        <w:t xml:space="preserve">5.3 Deteksi Anomali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Anomali ditetapkan berdasarkan penyimpangan nilai terkini terhadap sebaran nilai historis emiten yang bersangkutan pada jendela waktu tertentu. Ambang batas penyimpangan ditetapkan di awal dan wajib didokumentasikan, karena ambang yang berbeda menghasilkan jumlah temuan yang sangat berbeda.</w:t>
      </w:r>
    </w:p>
    <w:p>
      <w:pPr>
        <w:spacing w:after="120" w:line="276"/>
        <w:jc w:val="both"/>
      </w:pPr>
      <w:r>
        <w:rPr>
          <w:rFonts w:ascii="Times New Roman" w:cs="Times New Roman" w:eastAsia="Times New Roman" w:hAnsi="Times New Roman"/>
          <w:b/>
          <w:bCs/>
          <w:i w:val="false"/>
          <w:iCs w:val="false"/>
          <w:color w:val="000000"/>
          <w:sz w:val="24"/>
          <w:szCs w:val="24"/>
        </w:rPr>
        <w:t xml:space="preserve">Keluaran wajib berbentuk pernyataan faktual mengenai besaran penyimpangan yang terukur. Keluaran dilarang menyatakan penyebab maupun perkiraan kelanjutan pergerakan.</w:t>
      </w:r>
    </w:p>
    <w:p>
      <w:pPr>
        <w:pStyle w:val="Heading2"/>
        <w:spacing w:after="120" w:before="220"/>
        <w:jc w:val="left"/>
      </w:pPr>
      <w:r>
        <w:rPr>
          <w:rFonts w:ascii="Times New Roman" w:cs="Times New Roman" w:eastAsia="Times New Roman" w:hAnsi="Times New Roman"/>
          <w:b/>
          <w:bCs/>
          <w:color w:val="000000"/>
          <w:sz w:val="24"/>
          <w:szCs w:val="24"/>
        </w:rPr>
        <w:t xml:space="preserve">5.4 Pengenalan Pola Candlestick</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Pola dikenali melalui aturan matematis atas hubungan antara harga pembukaan, tertinggi, terendah, dan penutupan pada satu candle maupun beberapa candle berurutan. Pendekatan ini berbasis aturan dan tidak memerlukan pembelajaran mesin. Aturan dapat disusun sendiri atau memanfaatkan pustaka analisis teknikal yang tersedia. Memanfaatkan pustaka yang sudah ada adalah pilihan yang tepat di sini, karena waktu yang dihemat lebih berharga daripada nilai tambah menulis ulang aturan yang sudah baku.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pola disimpan bersama kategorinya sesuai penamaan baku pada analisis teknikal. Penamaan kategori ini merupakan taksonomi yang telah lama digunakan dan bukan klaim yang dibuat tim, namun tetap wajib disertai keterangan bahwa keandalan pola bervariasi dan tidak menjamin arah pergerakan harga.</w:t>
      </w:r>
    </w:p>
    <w:p>
      <w:pPr>
        <w:pStyle w:val="Heading2"/>
        <w:spacing w:after="120" w:before="220"/>
        <w:jc w:val="left"/>
      </w:pPr>
      <w:r>
        <w:rPr>
          <w:rFonts w:ascii="Times New Roman" w:cs="Times New Roman" w:eastAsia="Times New Roman" w:hAnsi="Times New Roman"/>
          <w:b/>
          <w:bCs/>
          <w:color w:val="000000"/>
          <w:sz w:val="24"/>
          <w:szCs w:val="24"/>
        </w:rPr>
        <w:t xml:space="preserve">5.5 Indikator Teknikal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Rata-rata bergerak dihitung dari harga penutupan pada beberapa panjang jendela yang berbeda. Indeks kekuatan relatif dihitung dari perbandingan rata-rata kenaikan dan rata-rata penurunan harga pada jendela waktu tertentu. Kedua indikator menggunakan data yang identik dengan pengenalan pola candlestick sehingga tidak menambah pemanggilan data baru.</w:t>
      </w:r>
    </w:p>
    <w:p>
      <w:pPr>
        <w:pStyle w:val="Heading1"/>
        <w:spacing w:after="160" w:before="280"/>
        <w:jc w:val="left"/>
      </w:pPr>
      <w:r>
        <w:rPr>
          <w:rFonts w:ascii="Times New Roman" w:cs="Times New Roman" w:eastAsia="Times New Roman" w:hAnsi="Times New Roman"/>
          <w:b/>
          <w:bCs/>
          <w:color w:val="000000"/>
          <w:sz w:val="24"/>
          <w:szCs w:val="24"/>
        </w:rPr>
        <w:t xml:space="preserve">6. Integrasi Lapisan AI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Lapisan AI menerima konteks berupa hasil perhitungan dalam bentuk terstruktur, bukan berupa data mentah. Instruksi sistem yang diberikan kepada model wajib memuat ketentuan berikut secara eksplisit.</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hanya boleh menjelaskan angka yang tersedia pada konteks dan dilarang mengarang angka yang tidak diberikan.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menyarankan tindakan beli, jual, atau menahan posisi dalam bentuk apa pun.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menyatakan perkiraan arah harga maupun probabilitas pergerakan harga.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Ketika informasi tidak tersedia pada konteks, model wajib menyatakan bahwa informasi tersebut tidak tersedia.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Penjelasan disusun dalam bahasa yang dapat dipahami pengguna tanpa latar belakang keuangan.</w:t>
      </w:r>
    </w:p>
    <w:p>
      <w:pPr>
        <w:spacing w:after="120" w:line="276"/>
        <w:jc w:val="both"/>
      </w:pPr>
      <w:r>
        <w:rPr>
          <w:rFonts w:ascii="Times New Roman" w:cs="Times New Roman" w:eastAsia="Times New Roman" w:hAnsi="Times New Roman"/>
          <w:b/>
          <w:bCs/>
          <w:i w:val="false"/>
          <w:iCs w:val="false"/>
          <w:color w:val="000000"/>
          <w:sz w:val="24"/>
          <w:szCs w:val="24"/>
        </w:rPr>
        <w:t xml:space="preserve">Pengujian terhadap lapisan AI dilakukan menggunakan sekumpulan pertanyaan rawan yang sengaja memancing anjuran investasi. Daftar pertanyaan ini disimpan di dalam repositori dan dijalankan ulang setiap kali instruksi sistem diubah.</w:t>
      </w:r>
    </w:p>
    <w:p>
      <w:pPr>
        <w:pStyle w:val="Heading1"/>
        <w:spacing w:after="160" w:before="280"/>
        <w:jc w:val="left"/>
      </w:pPr>
      <w:r>
        <w:rPr>
          <w:rFonts w:ascii="Times New Roman" w:cs="Times New Roman" w:eastAsia="Times New Roman" w:hAnsi="Times New Roman"/>
          <w:b/>
          <w:bCs/>
          <w:color w:val="000000"/>
          <w:sz w:val="24"/>
          <w:szCs w:val="24"/>
        </w:rPr>
        <w:t xml:space="preserve">7. Manajemen Kredit API dan Cache</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Kuota kredit Sectors berjumlah seribu dan bersifat terbatas, sehingga pemakaian selama pengembangan harus dikendalikan sejak hari pertama.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Seluruh pemanggilan data selama pengembangan wajib melalui lapisan cache. Pemanggilan langsung tanpa cache hanya diizinkan pada saat verifikasi awal ketersediaan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Data yang jarang berubah, seperti profil emiten dan laporan keuangan periodik, disimpan dengan masa berlaku cache yang panjang.</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Pengujian antarmuka menggunakan data contoh yang telah tersimpan, bukan pemanggilan baru ke sumber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Pemakaian kredit dicatat secara berkala agar sisa kuota selalu diketahui sebelum memasuki tahap pengujian akhir.</w:t>
      </w:r>
    </w:p>
    <w:p>
      <w:pPr>
        <w:pStyle w:val="Heading1"/>
        <w:spacing w:after="160" w:before="280"/>
        <w:jc w:val="left"/>
      </w:pPr>
      <w:r>
        <w:rPr>
          <w:rFonts w:ascii="Times New Roman" w:cs="Times New Roman" w:eastAsia="Times New Roman" w:hAnsi="Times New Roman"/>
          <w:b/>
          <w:bCs/>
          <w:color w:val="000000"/>
          <w:sz w:val="24"/>
          <w:szCs w:val="24"/>
        </w:rPr>
        <w:t xml:space="preserve">8. Struktur Repositori dan Konvensi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Struktur repositori disusun mengikuti pemisahan lapisan pada bagian dua agar tanggung jawab setiap anggota tim tidak saling bertabrakan.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24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Direktori</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Isi</w:t>
            </w:r>
          </w:p>
        </w:tc>
        <w:tc>
          <w:tcPr>
            <w:tcW w:type="dxa" w:w="2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Urutan Pengerjaan</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Klien Sectors, normalisasi bentuk data, dan mekanisme cache.</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Pertama. Seluruh lapisan lain menunggu direktori ini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analysis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skor, persentil, anomali, pola, dan indikator.</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Kedua. Dikerjakan per fitur sesuai urutan prioritas.</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antarmuka, grafik, dan halaman.</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Ketiga. Menyusul tiap fitur analisis yang telah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Instruksi sistem, penyusunan konteks, dan pemanggilan penyedia AI.</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Keempat. Membutuhkan keluaran analisis yang sudah stabil.</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docs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Dokumen PRD, spesifikasi teknis, dan kamus data.</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Berjalan sepanjang periode build.</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Konvensi kerja yang ditetapkan adalah sebagai berikut. Penamaan berkas dan fungsi menggunakan bahasa Inggris agar konsisten dengan pustaka yang digunakan, sedangkan seluruh teks yang terlihat pengguna menggunakan bahasa Indonesia. Setiap perubahan pada logika perhitungan wajib disertai catatan singkat mengenai alasan perubahan, karena logika perhitungan merupakan inti nilai produk dan menjadi objek penilaian kedalaman teknis oleh juri.</w:t>
      </w:r>
    </w:p>
    <w:p>
      <w:pPr>
        <w:pStyle w:val="Heading1"/>
        <w:spacing w:after="160" w:before="280"/>
        <w:jc w:val="left"/>
      </w:pPr>
      <w:r>
        <w:rPr>
          <w:rFonts w:ascii="Times New Roman" w:cs="Times New Roman" w:eastAsia="Times New Roman" w:hAnsi="Times New Roman"/>
          <w:b/>
          <w:bCs/>
          <w:color w:val="000000"/>
          <w:sz w:val="24"/>
          <w:szCs w:val="24"/>
        </w:rPr>
        <w:t xml:space="preserve">9. Keamanan dan Penanganan Kredensial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kunci API, baik milik Sectors maupun penyedia AI generatif, disimpan pada berkas variabel lingkungan yang dikecualikan dari kontrol versi sejak commit pertama. Berkas contoh tanpa nilai asli disediakan di dalam repositori sebagai acuan.</w:t>
      </w:r>
    </w:p>
    <w:p>
      <w:pPr>
        <w:spacing w:after="120" w:line="276"/>
        <w:jc w:val="both"/>
      </w:pPr>
      <w:r>
        <w:rPr>
          <w:rFonts w:ascii="Times New Roman" w:cs="Times New Roman" w:eastAsia="Times New Roman" w:hAnsi="Times New Roman"/>
          <w:b/>
          <w:bCs/>
          <w:i w:val="false"/>
          <w:iCs w:val="false"/>
          <w:color w:val="000000"/>
          <w:sz w:val="24"/>
          <w:szCs w:val="24"/>
        </w:rPr>
        <w:t xml:space="preserve">Sebelum submission, seluruh riwayat commit wajib diperiksa untuk memastikan tidak ada kredensial yang pernah masuk ke repositori. Apabila kredensial terlanjur bocor, tindakan yang benar adalah mencabut dan mengganti kredensial terlebih dahulu, memberi tahu penyelenggara melalui kanal dukungan resmi, lalu mengirim commit yang hanya berisi penghapusan kredensial tersebut.</w:t>
      </w:r>
    </w:p>
    <w:p>
      <w:pPr>
        <w:pStyle w:val="Heading1"/>
        <w:spacing w:after="160" w:before="280"/>
        <w:jc w:val="left"/>
      </w:pPr>
      <w:r>
        <w:rPr>
          <w:rFonts w:ascii="Times New Roman" w:cs="Times New Roman" w:eastAsia="Times New Roman" w:hAnsi="Times New Roman"/>
          <w:b/>
          <w:bCs/>
          <w:color w:val="000000"/>
          <w:sz w:val="24"/>
          <w:szCs w:val="24"/>
        </w:rPr>
        <w:t xml:space="preserve">10. Rencana Pengujian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Pengujian difokuskan pada hal-hal yang paling berisiko merusak demonstrasi maupun melanggar aturan kompetisi. Karena tidak ada anggota lain yang dapat memeriksa silang hasil kerja, pengujian terhadap daftar periksa tertulis menjadi satu-satunya pengaman terhadap kesalahan yang tidak disadari.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Area</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Yang Diuji</w:t>
            </w:r>
          </w:p>
        </w:tc>
        <w:tc>
          <w:tcPr>
            <w:tcW w:type="dxa" w:w="3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Kriteria Lulus</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Ketergantungan data</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produk ketika sumber data Sectors dinonaktifkan.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Fungsi inti berhenti bekerja, membuktikan ketergantungan sesuai batasan B-01.</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Kebenaran skor, persentil, indikator, dan pola pada sampel data yang dihitung manual.</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Hasil sistem sama dengan hasil perhitungan manual pada seluruh sampel.</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 tidak lengkap</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sistem pada emiten dengan data kosong atau sebagian.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 ditandai sebagai data tidak memadai dan tidak diberi skor.</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Kepatuhan keluaran AI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Respons terhadap daftar pertanyaan rawan anjuran investasi.</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Tidak ada satu pun respons yang berisi anjuran tindakan atau perkiraan harga.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inti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Perjalanan pengguna dari halaman awal sampai memahami satu emiten.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berjalan tanpa kegagalan dan dapat direkam utuh dalam tiga menit.</w:t>
            </w:r>
          </w:p>
        </w:tc>
      </w:tr>
    </w:tbl>
    <w:p>
      <w:pPr>
        <w:pStyle w:val="Heading1"/>
        <w:spacing w:after="160" w:before="280"/>
        <w:jc w:val="left"/>
      </w:pPr>
      <w:r>
        <w:rPr>
          <w:rFonts w:ascii="Times New Roman" w:cs="Times New Roman" w:eastAsia="Times New Roman" w:hAnsi="Times New Roman"/>
          <w:b/>
          <w:bCs/>
          <w:color w:val="000000"/>
          <w:sz w:val="24"/>
          <w:szCs w:val="24"/>
        </w:rPr>
        <w:t xml:space="preserve">11. Catatan Keputusan Teknis</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selama pengembangan berjalan. Pencatatan keputusan penting karena juri menilai kedalaman teknis melalui pemeriksaan repositori, dan alasan di balik sebuah keputusan sering kali tidak terlihat dari kode saja.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rPr>
          <w:tblHeader/>
        </w:trPr>
        <w:tc>
          <w:tcPr>
            <w:tcW w:type="dxa" w:w="1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Keputusan</w:t>
            </w:r>
          </w:p>
        </w:tc>
        <w:tc>
          <w:tcPr>
            <w:tcW w:type="dxa" w:w="37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 keputusan yang diambil]</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 alasan dan alternatif yang ditolak]</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2026-09-04T04:15:44.640Z</dcterms:created>
  <dcterms:modified xsi:type="dcterms:W3CDTF">2026-09-04T04:15:44.640Z</dcterms:modified>
</cp:coreProperties>
</file>

<file path=docProps/custom.xml><?xml version="1.0" encoding="utf-8"?>
<Properties xmlns="http://schemas.openxmlformats.org/officeDocument/2006/custom-properties" xmlns:vt="http://schemas.openxmlformats.org/officeDocument/2006/docPropsVTypes"/>
</file>