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pi-tscg-praxis-bericht-aus-dem-feld"/>
    <w:p>
      <w:pPr>
        <w:pStyle w:val="Heading1"/>
      </w:pPr>
      <w:r>
        <w:t xml:space="preserve">pi-tscg — Praxis-Bericht aus dem Feld</w:t>
      </w:r>
    </w:p>
    <w:p>
      <w:pPr>
        <w:pStyle w:val="FirstParagraph"/>
      </w:pPr>
      <w:r>
        <w:rPr>
          <w:b/>
          <w:bCs/>
        </w:rPr>
        <w:t xml:space="preserve">Adressat:</w:t>
      </w:r>
      <w:r>
        <w:t xml:space="preserve"> </w:t>
      </w:r>
      <w:r>
        <w:t xml:space="preserve">Furkan / SKZL-AI (Maintainer von</w:t>
      </w:r>
      <w:r>
        <w:t xml:space="preserve"> </w:t>
      </w:r>
      <w:hyperlink r:id="rId9">
        <w:r>
          <w:rPr>
            <w:rStyle w:val="Hyperlink"/>
          </w:rPr>
          <w:t xml:space="preserve">@tscg/core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Verfasser:</w:t>
      </w:r>
      <w:r>
        <w:t xml:space="preserve"> </w:t>
      </w:r>
      <w:r>
        <w:t xml:space="preserve">Dominic Wolf</w:t>
      </w:r>
      <w:r>
        <w:t xml:space="preserve"> </w:t>
      </w:r>
      <w:r>
        <w:rPr>
          <w:b/>
          <w:bCs/>
        </w:rPr>
        <w:t xml:space="preserve">Datum:</w:t>
      </w:r>
      <w:r>
        <w:t xml:space="preserve"> </w:t>
      </w:r>
      <w:r>
        <w:t xml:space="preserve">28. April 2026</w:t>
      </w:r>
      <w:r>
        <w:t xml:space="preserve"> </w:t>
      </w:r>
      <w:r>
        <w:rPr>
          <w:b/>
          <w:bCs/>
        </w:rPr>
        <w:t xml:space="preserve">Repo:</w:t>
      </w:r>
      <w:r>
        <w:t xml:space="preserve"> </w:t>
      </w:r>
      <w:r>
        <w:rPr>
          <w:rStyle w:val="VerbatimChar"/>
        </w:rPr>
        <w:t xml:space="preserve">pi-tscg</w:t>
      </w:r>
      <w:r>
        <w:t xml:space="preserve"> </w:t>
      </w:r>
      <w:r>
        <w:t xml:space="preserve">(lokal lauffähig; Ziel: npm-Veröffentlichung + Pi-Plugin-Verzeichnis)</w:t>
      </w:r>
    </w:p>
    <w:p>
      <w:r>
        <w:pict>
          <v:rect style="width:0;height:1.5pt" o:hralign="center" o:hrstd="t" o:hr="t"/>
        </w:pict>
      </w:r>
    </w:p>
    <w:bookmarkStart w:id="10" w:name="worum-es-geht"/>
    <w:p>
      <w:pPr>
        <w:pStyle w:val="Heading2"/>
      </w:pPr>
      <w:r>
        <w:t xml:space="preserve">1. Worum es geht</w:t>
      </w:r>
    </w:p>
    <w:p>
      <w:pPr>
        <w:pStyle w:val="FirstParagraph"/>
      </w:pPr>
      <w:r>
        <w:rPr>
          <w:rStyle w:val="VerbatimChar"/>
        </w:rPr>
        <w:t xml:space="preserve">@tscg/core</w:t>
      </w:r>
      <w:r>
        <w:t xml:space="preserve"> </w:t>
      </w:r>
      <w:r>
        <w:t xml:space="preserve">ist hier als</w:t>
      </w:r>
      <w:r>
        <w:t xml:space="preserve"> </w:t>
      </w:r>
      <w:r>
        <w:rPr>
          <w:b/>
          <w:bCs/>
        </w:rPr>
        <w:t xml:space="preserve">Pi-Coding-Agent-Extension</w:t>
      </w:r>
      <w:r>
        <w:t xml:space="preserve"> </w:t>
      </w:r>
      <w:r>
        <w:t xml:space="preserve">integriert, um TSCG in einer realen Coding-Agent-Loop zu betreiben — nicht als statischen Compiler-Lauf, sondern als Live-Hook bei jedem LLM-Request und bei jedem Tool-Result. Dabei sind drei Optimierungs-Hebel entstanden, von denen einer direkt auf deinem Core sitzt und zwei darüber hinausgehen.</w:t>
      </w:r>
    </w:p>
    <w:p>
      <w:pPr>
        <w:pStyle w:val="BodyText"/>
      </w:pPr>
      <w:r>
        <w:t xml:space="preserve">Das Dokument zeigt: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Was die Extension macht</w:t>
      </w:r>
      <w:r>
        <w:t xml:space="preserve"> </w:t>
      </w:r>
      <w:r>
        <w:t xml:space="preserve">— Architektur und Hook-Punkte in Pi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@tscg/core</w:t>
      </w:r>
      <w:r>
        <w:rPr>
          <w:b/>
          <w:bCs/>
        </w:rPr>
        <w:t xml:space="preserve"> </w:t>
      </w:r>
      <w:r>
        <w:rPr>
          <w:b/>
          <w:bCs/>
        </w:rPr>
        <w:t xml:space="preserve">konkret eingebunden ist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principles</w:t>
      </w:r>
      <w:r>
        <w:t xml:space="preserve">-Konfiguration,</w:t>
      </w:r>
      <w:r>
        <w:t xml:space="preserve"> </w:t>
      </w:r>
      <w:r>
        <w:rPr>
          <w:rStyle w:val="VerbatimChar"/>
        </w:rPr>
        <w:t xml:space="preserve">compressDescriptions</w:t>
      </w:r>
      <w:r>
        <w:t xml:space="preserve">-Aufruf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Was wir on top gebaut haben</w:t>
      </w:r>
      <w:r>
        <w:t xml:space="preserve"> </w:t>
      </w:r>
      <w:r>
        <w:t xml:space="preserve">— Tool-Result-Compression und Anthropic-Prompt-Cache-Marker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Reale Messdaten</w:t>
      </w:r>
      <w:r>
        <w:t xml:space="preserve"> </w:t>
      </w:r>
      <w:r>
        <w:t xml:space="preserve">aus einer Live-Session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 Description-Only auf kompakten Tool-Schemas an die strukturelle Grenze stößt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Roadmap:</w:t>
      </w:r>
      <w:r>
        <w:t xml:space="preserve"> </w:t>
      </w:r>
      <w:r>
        <w:t xml:space="preserve">Veröffentlichung als npm-Package, Integration ins Pi-Plugin-Verzeichnis</w:t>
      </w:r>
    </w:p>
    <w:p>
      <w:r>
        <w:pict>
          <v:rect style="width:0;height:1.5pt" o:hralign="center" o:hrstd="t" o:hr="t"/>
        </w:pict>
      </w:r>
    </w:p>
    <w:bookmarkEnd w:id="10"/>
    <w:bookmarkStart w:id="16" w:name="X3fae05fd9d24a8fa1e7fda13bf5b3bf0cd3d233"/>
    <w:p>
      <w:pPr>
        <w:pStyle w:val="Heading2"/>
      </w:pPr>
      <w:r>
        <w:t xml:space="preserve">2. Warum Pi — und nicht Claude Code, Aider oder Cursor</w:t>
      </w:r>
    </w:p>
    <w:p>
      <w:pPr>
        <w:pStyle w:val="FirstParagraph"/>
      </w:pPr>
      <w:r>
        <w:t xml:space="preserve">Pi (</w:t>
      </w:r>
      <w:r>
        <w:rPr>
          <w:rStyle w:val="VerbatimChar"/>
        </w:rPr>
        <w:t xml:space="preserve">@mariozechner/pi-coding-agent</w:t>
      </w:r>
      <w:r>
        <w:t xml:space="preserve">) ist als Plattform für TSCG-Experimente und für Agent-Tooling generell aus mehreren Gründen besser geeignet als die etablierten Alternativen. Der Punkt ist nicht „schlechter sind die anderen” — der Punkt ist: Pi gibt einer Compression-Extension genau die Eingriffspunkte und die Provider-Breite, die wir brauchen, ohne Lock-in. Vergleich auf einen Blick: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5"/>
        <w:gridCol w:w="1073"/>
        <w:gridCol w:w="1745"/>
        <w:gridCol w:w="939"/>
        <w:gridCol w:w="24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Eigenschaft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Aider</w:t>
            </w:r>
          </w:p>
        </w:tc>
        <w:tc>
          <w:tcPr/>
          <w:p>
            <w:pPr>
              <w:pStyle w:val="Compact"/>
            </w:pPr>
            <w:r>
              <w:t xml:space="preserve">Cursor / Copilot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Lizenz / Open Source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proprietär</w:t>
            </w:r>
          </w:p>
        </w:tc>
        <w:tc>
          <w:tcPr/>
          <w:p>
            <w:pPr>
              <w:pStyle w:val="Compact"/>
            </w:pPr>
            <w:r>
              <w:t xml:space="preserve">Apache-2.0</w:t>
            </w:r>
          </w:p>
        </w:tc>
        <w:tc>
          <w:tcPr/>
          <w:p>
            <w:pPr>
              <w:pStyle w:val="Compact"/>
            </w:pPr>
            <w:r>
              <w:t xml:space="preserve">proprietär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Provider-Support</w:t>
            </w:r>
          </w:p>
        </w:tc>
        <w:tc>
          <w:tcPr/>
          <w:p>
            <w:pPr>
              <w:pStyle w:val="Compact"/>
            </w:pPr>
            <w:r>
              <w:t xml:space="preserve">Anthropic, OpenAI, Ollama, …</w:t>
            </w:r>
          </w:p>
        </w:tc>
        <w:tc>
          <w:tcPr/>
          <w:p>
            <w:pPr>
              <w:pStyle w:val="Compact"/>
            </w:pPr>
            <w:r>
              <w:t xml:space="preserve">Anthropic only</w:t>
            </w:r>
          </w:p>
        </w:tc>
        <w:tc>
          <w:tcPr/>
          <w:p>
            <w:pPr>
              <w:pStyle w:val="Compact"/>
            </w:pPr>
            <w:r>
              <w:t xml:space="preserve">Multi-Provider</w:t>
            </w:r>
          </w:p>
        </w:tc>
        <w:tc>
          <w:tcPr/>
          <w:p>
            <w:pPr>
              <w:pStyle w:val="Compact"/>
            </w:pPr>
            <w:r>
              <w:t xml:space="preserve">OpenAI / Anthropic über Cursor-Backend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Ausführung</w:t>
            </w:r>
          </w:p>
        </w:tc>
        <w:tc>
          <w:tcPr/>
          <w:p>
            <w:pPr>
              <w:pStyle w:val="Compact"/>
            </w:pPr>
            <w:r>
              <w:t xml:space="preserve">CLI, headless-fähig (</w:t>
            </w:r>
            <w:r>
              <w:rPr>
                <w:rStyle w:val="VerbatimChar"/>
              </w:rPr>
              <w:t xml:space="preserve">pi -p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CLI, interaktiv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nur in 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Lokale Modelle als First-Class?</w:t>
            </w:r>
          </w:p>
        </w:tc>
        <w:tc>
          <w:tcPr/>
          <w:p>
            <w:pPr>
              <w:pStyle w:val="Compact"/>
            </w:pPr>
            <w:r>
              <w:t xml:space="preserve">ja (Ollama nativ)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  <w:tc>
          <w:tcPr/>
          <w:p>
            <w:pPr>
              <w:pStyle w:val="Compact"/>
            </w:pPr>
            <w:r>
              <w:t xml:space="preserve">teilweise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Lifecycle-Hooks für Extensions</w:t>
            </w:r>
          </w:p>
        </w:tc>
        <w:tc>
          <w:tcPr/>
          <w:p>
            <w:pPr>
              <w:pStyle w:val="Compact"/>
            </w:pPr>
            <w:r>
              <w:t xml:space="preserve">volle Tool-Schema- und Tool-Result-Mutation</w:t>
            </w:r>
          </w:p>
        </w:tc>
        <w:tc>
          <w:tcPr/>
          <w:p>
            <w:pPr>
              <w:pStyle w:val="Compact"/>
            </w:pPr>
            <w:r>
              <w:t xml:space="preserve">nur Pre/Post-Tool-Events</w:t>
            </w:r>
          </w:p>
        </w:tc>
        <w:tc>
          <w:tcPr/>
          <w:p>
            <w:pPr>
              <w:pStyle w:val="Compact"/>
            </w:pPr>
            <w:r>
              <w:t xml:space="preserve">begrenzt</w:t>
            </w:r>
          </w:p>
        </w:tc>
        <w:tc>
          <w:tcPr/>
          <w:p>
            <w:pPr>
              <w:pStyle w:val="Compact"/>
            </w:pPr>
            <w:r>
              <w:t xml:space="preserve">keine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Self-Provisioning per Marketplace-Befehl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 install &lt;pkg&gt;</w:t>
            </w:r>
          </w:p>
        </w:tc>
        <w:tc>
          <w:tcPr/>
          <w:p>
            <w:pPr>
              <w:pStyle w:val="Compact"/>
            </w:pPr>
            <w:r>
              <w:t xml:space="preserve">Plugin-Verzeichnis (Hooks/MCP-fokussiert)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  <w:tc>
          <w:tcPr/>
          <w:p>
            <w:pPr>
              <w:pStyle w:val="Compact"/>
            </w:pPr>
            <w:r>
              <w:t xml:space="preserve">proprietär (extension marketplace)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Telemetrie</w:t>
            </w:r>
          </w:p>
        </w:tc>
        <w:tc>
          <w:tcPr/>
          <w:p>
            <w:pPr>
              <w:pStyle w:val="Compact"/>
            </w:pPr>
            <w:r>
              <w:t xml:space="preserve">keine</w:t>
            </w:r>
          </w:p>
        </w:tc>
        <w:tc>
          <w:tcPr/>
          <w:p>
            <w:pPr>
              <w:pStyle w:val="Compact"/>
            </w:pPr>
            <w:r>
              <w:t xml:space="preserve">proprietär (anthropic)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proprietär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Code-Größe (Anhaltspunkt)</w:t>
            </w:r>
          </w:p>
        </w:tc>
        <w:tc>
          <w:tcPr/>
          <w:p>
            <w:pPr>
              <w:pStyle w:val="Compact"/>
            </w:pPr>
            <w:r>
              <w:t xml:space="preserve">mittlere CLI, lesbar</w:t>
            </w:r>
          </w:p>
        </w:tc>
        <w:tc>
          <w:tcPr/>
          <w:p>
            <w:pPr>
              <w:pStyle w:val="Compact"/>
            </w:pPr>
            <w:r>
              <w:t xml:space="preserve">Black-Box</w:t>
            </w:r>
          </w:p>
        </w:tc>
        <w:tc>
          <w:tcPr/>
          <w:p>
            <w:pPr>
              <w:pStyle w:val="Compact"/>
            </w:pPr>
            <w:r>
              <w:t xml:space="preserve">mittlere CLI, lesbar</w:t>
            </w:r>
          </w:p>
        </w:tc>
        <w:tc>
          <w:tcPr/>
          <w:p>
            <w:pPr>
              <w:pStyle w:val="Compact"/>
            </w:pPr>
            <w:r>
              <w:t xml:space="preserve">Black-Box</w:t>
            </w:r>
          </w:p>
        </w:tc>
      </w:tr>
    </w:tbl>
    <w:p>
      <w:pPr>
        <w:pStyle w:val="BodyText"/>
      </w:pPr>
      <w:r>
        <w:t xml:space="preserve">Konkret die fünf entscheidenden Punkte für die TSCG-Integration:</w:t>
      </w:r>
    </w:p>
    <w:bookmarkStart w:id="11" w:name="schlanker-lesbarer-kern"/>
    <w:p>
      <w:pPr>
        <w:pStyle w:val="Heading3"/>
      </w:pPr>
      <w:r>
        <w:t xml:space="preserve">2.1 Schlanker, lesbarer Kern</w:t>
      </w:r>
    </w:p>
    <w:p>
      <w:pPr>
        <w:pStyle w:val="FirstParagraph"/>
      </w:pPr>
      <w:r>
        <w:t xml:space="preserve">Pi ist</w:t>
      </w:r>
      <w:r>
        <w:t xml:space="preserve"> </w:t>
      </w:r>
      <w:r>
        <w:rPr>
          <w:b/>
          <w:bCs/>
        </w:rPr>
        <w:t xml:space="preserve">ein einzelnes npm-Paket</w:t>
      </w:r>
      <w:r>
        <w:t xml:space="preserve"> </w:t>
      </w:r>
      <w:r>
        <w:t xml:space="preserve">mit klarer Lifecycle-Architektur. Keine Telemetrie, kein Editor-Integration-Wrapper, keine Cloud-Abhängigkeit, kein Account-Zwang. Der Source ist überschaubar (v0.70.5 — Größenordnung mittlere CLI). Das macht Performance-Messung deterministisch: jeder eingesparte Token ist nachvollziehbar im Hook-Output, ohne dass eine IDE-Schicht oder ein Cloud-Backend dazwischenfunkt.</w:t>
      </w:r>
    </w:p>
    <w:bookmarkEnd w:id="11"/>
    <w:bookmarkStart w:id="12" w:name="provider-agnostik"/>
    <w:p>
      <w:pPr>
        <w:pStyle w:val="Heading3"/>
      </w:pPr>
      <w:r>
        <w:t xml:space="preserve">2.2 Provider-Agnostik</w:t>
      </w:r>
    </w:p>
    <w:p>
      <w:pPr>
        <w:pStyle w:val="FirstParagraph"/>
      </w:pPr>
      <w:r>
        <w:t xml:space="preserve">Pi spricht direkt mit der</w:t>
      </w:r>
      <w:r>
        <w:t xml:space="preserve"> </w:t>
      </w:r>
      <w:r>
        <w:rPr>
          <w:b/>
          <w:bCs/>
        </w:rPr>
        <w:t xml:space="preserve">Anthropic API, OpenAI API und Ollama API</w:t>
      </w:r>
      <w:r>
        <w:t xml:space="preserve"> </w:t>
      </w:r>
      <w:r>
        <w:t xml:space="preserve">(über deren OpenAI-kompatibles Endpoint). Provider-Wechsel ist eine Flag-Sache (</w:t>
      </w:r>
      <w:r>
        <w:rPr>
          <w:rStyle w:val="VerbatimChar"/>
        </w:rPr>
        <w:t xml:space="preserve">pi --provider anthropic --model claude-haiku</w:t>
      </w:r>
      <w:r>
        <w:t xml:space="preserve">), nicht ein Vendor-Switch. Für TSCG bedeutet das: ein und dieselbe Extension wirkt auf allen drei Welten. Hebel 1 + Hebel 2 sind komplett provider-agnostic, Hebel 3 (Cache) ist provider-aware mit unterschiedlichen Mechaniken pro API (Details in §5.2).</w:t>
      </w:r>
    </w:p>
    <w:p>
      <w:pPr>
        <w:pStyle w:val="BodyText"/>
      </w:pPr>
      <w:r>
        <w:t xml:space="preserve">Im Kontrast: Claude Code ist an Anthropic gekoppelt, Cursor an dessen Backend, Copilot ans GitHub-Backend. Eine Compression-Extension dort hätte deutlich weniger Reichweite.</w:t>
      </w:r>
    </w:p>
    <w:bookmarkEnd w:id="12"/>
    <w:bookmarkStart w:id="13" w:name="lokale-modelle-als-first-class"/>
    <w:p>
      <w:pPr>
        <w:pStyle w:val="Heading3"/>
      </w:pPr>
      <w:r>
        <w:t xml:space="preserve">2.3 Lokale Modelle als First-Class</w:t>
      </w:r>
    </w:p>
    <w:p>
      <w:pPr>
        <w:pStyle w:val="FirstParagraph"/>
      </w:pPr>
      <w:r>
        <w:t xml:space="preserve">Ollama-Integration ist in Pi keine nachträgliche Erweiterung, sondern Default-Setup (siehe</w:t>
      </w:r>
      <w:r>
        <w:t xml:space="preserve"> </w:t>
      </w:r>
      <w:r>
        <w:rPr>
          <w:rStyle w:val="VerbatimChar"/>
        </w:rPr>
        <w:t xml:space="preserve">~/.pi/agent/settings.json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defaultProvider: "ollama"</w:t>
      </w:r>
      <w:r>
        <w:t xml:space="preserve">). Das matcht den Trend zu lokalen, mittel-großen Code-Modellen (Qwen 3, DeepSeek-Coder, Llama 3.x), die auf 24-32 GB RAM-Macs laufen. Für TSCG ist das relevant, weil</w:t>
      </w:r>
      <w:r>
        <w:t xml:space="preserve"> </w:t>
      </w:r>
      <w:r>
        <w:rPr>
          <w:b/>
          <w:bCs/>
        </w:rPr>
        <w:t xml:space="preserve">bei lokalen Modellen Tokens nicht Geld kosten, aber Zeit</w:t>
      </w:r>
      <w:r>
        <w:t xml:space="preserve"> </w:t>
      </w:r>
      <w:r>
        <w:t xml:space="preserve">— Compression beschleunigt das Modell direkt, was bei einem 9B-Modell mit 30-60 tk/s gut spürbar ist.</w:t>
      </w:r>
    </w:p>
    <w:bookmarkEnd w:id="13"/>
    <w:bookmarkStart w:id="14" w:name="self-service-tooling-per-extension-api"/>
    <w:p>
      <w:pPr>
        <w:pStyle w:val="Heading3"/>
      </w:pPr>
      <w:r>
        <w:t xml:space="preserve">2.4 Self-Service-Tooling per Extension-API</w:t>
      </w:r>
    </w:p>
    <w:p>
      <w:pPr>
        <w:pStyle w:val="FirstParagraph"/>
      </w:pPr>
      <w:r>
        <w:t xml:space="preserve">Pi hat ein vollständiges Hook-System, mit dem eine Extension die Tool-Schemas, die Conversation-Messages, die Tool-Calls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die Tool-Results pro Lifecycle-Punkt mutieren kann. Das ist nicht selbstverständlich — Claude Code z.B. exponiert nur</w:t>
      </w:r>
      <w:r>
        <w:t xml:space="preserve"> </w:t>
      </w:r>
      <w:r>
        <w:rPr>
          <w:rStyle w:val="VerbatimChar"/>
        </w:rPr>
        <w:t xml:space="preserve">hooks</w:t>
      </w:r>
      <w:r>
        <w:t xml:space="preserve"> </w:t>
      </w:r>
      <w:r>
        <w:t xml:space="preserve">für Pre-/Post-Tool-Events ohne Möglichkeit, das LLM-Payload selbst zu rewriten. Pi gibt der Extension den vollen Provider-Payload-Zugriff:</w:t>
      </w:r>
    </w:p>
    <w:p>
      <w:pPr>
        <w:pStyle w:val="SourceCode"/>
      </w:pPr>
      <w:r>
        <w:rPr>
          <w:rStyle w:val="FunctionTok"/>
        </w:rPr>
        <w:t xml:space="preserve">on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"before_provider_request"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Tool-Schemas + System</w:t>
      </w:r>
      <w:r>
        <w:br/>
      </w:r>
      <w:r>
        <w:rPr>
          <w:rStyle w:val="FunctionTok"/>
        </w:rPr>
        <w:t xml:space="preserve">on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Conversation-History</w:t>
      </w:r>
      <w:r>
        <w:br/>
      </w:r>
      <w:r>
        <w:rPr>
          <w:rStyle w:val="FunctionTok"/>
        </w:rPr>
        <w:t xml:space="preserve">on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"tool_call"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Tool-Argumente</w:t>
      </w:r>
      <w:r>
        <w:br/>
      </w:r>
      <w:r>
        <w:rPr>
          <w:rStyle w:val="FunctionTok"/>
        </w:rPr>
        <w:t xml:space="preserve">on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"tool_result"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Tool-Output</w:t>
      </w:r>
      <w:r>
        <w:br/>
      </w:r>
      <w:r>
        <w:rPr>
          <w:rStyle w:val="FunctionTok"/>
        </w:rPr>
        <w:t xml:space="preserve">on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"after_provider_response"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Antwort-Inspektion</w:t>
      </w:r>
    </w:p>
    <w:p>
      <w:pPr>
        <w:pStyle w:val="FirstParagraph"/>
      </w:pPr>
      <w:r>
        <w:t xml:space="preserve">Genau diese Punkte sind die natürlichen Eingriffsstellen für TSCG, sowohl für Schemas als auch für Result-Compression. Ohne diesen Layer hätten wir Hebel 2 gar nicht bauen können.</w:t>
      </w:r>
    </w:p>
    <w:bookmarkEnd w:id="14"/>
    <w:bookmarkStart w:id="15" w:name="self-provisioning-mit-add-ons"/>
    <w:p>
      <w:pPr>
        <w:pStyle w:val="Heading3"/>
      </w:pPr>
      <w:r>
        <w:t xml:space="preserve">2.5 Self-Provisioning mit Add-ons</w:t>
      </w:r>
    </w:p>
    <w:p>
      <w:pPr>
        <w:pStyle w:val="FirstParagraph"/>
      </w:pPr>
      <w:r>
        <w:t xml:space="preserve">Pi-Agenten können sich</w:t>
      </w:r>
      <w:r>
        <w:t xml:space="preserve"> </w:t>
      </w:r>
      <w:r>
        <w:rPr>
          <w:b/>
          <w:bCs/>
        </w:rPr>
        <w:t xml:space="preserve">zur Laufzeit weitere Tools per Extension installieren</w:t>
      </w:r>
      <w:r>
        <w:t xml:space="preserve"> </w:t>
      </w:r>
      <w:r>
        <w:t xml:space="preserve">(</w:t>
      </w:r>
      <w:r>
        <w:rPr>
          <w:rStyle w:val="VerbatimChar"/>
        </w:rPr>
        <w:t xml:space="preserve">pi install &lt;package&gt;</w:t>
      </w:r>
      <w:r>
        <w:t xml:space="preserve">). Das macht Pi zu einer interessanten Plattform für TSCG-Distribution: ein Nutzer kann mit einem einzigen Befehl</w:t>
      </w:r>
    </w:p>
    <w:p>
      <w:pPr>
        <w:pStyle w:val="SourceCode"/>
      </w:pPr>
      <w:r>
        <w:rPr>
          <w:rStyle w:val="ExtensionTok"/>
        </w:rPr>
        <w:t xml:space="preserve">pi</w:t>
      </w:r>
      <w:r>
        <w:rPr>
          <w:rStyle w:val="NormalTok"/>
        </w:rPr>
        <w:t xml:space="preserve"> install pi-tscg</w:t>
      </w:r>
    </w:p>
    <w:p>
      <w:pPr>
        <w:pStyle w:val="FirstParagraph"/>
      </w:pPr>
      <w:r>
        <w:t xml:space="preserve">das gesamte Compression-System aktivieren —</w:t>
      </w:r>
      <w:r>
        <w:t xml:space="preserve"> </w:t>
      </w:r>
      <w:r>
        <w:rPr>
          <w:b/>
          <w:bCs/>
        </w:rPr>
        <w:t xml:space="preserve">ohne den Agent-Code zu modifizieren, ohne Cluster-Setup, ohne Account.</w:t>
      </w:r>
      <w:r>
        <w:t xml:space="preserve"> </w:t>
      </w:r>
      <w:r>
        <w:t xml:space="preserve">Genau dieser Workflow ist das mittelfristige Ziel (siehe Abschnitt 8). Vergleichbare Distribution gibt es bei Claude Code zwar über Plugins, aber dort wären wir an Anthropic-only gebunden — der TSCG-Wert über alle Provider hinweg geht verloren.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architektur"/>
    <w:p>
      <w:pPr>
        <w:pStyle w:val="Heading2"/>
      </w:pPr>
      <w:r>
        <w:t xml:space="preserve">3. Architektur</w:t>
      </w:r>
    </w:p>
    <w:p>
      <w:pPr>
        <w:pStyle w:val="SourceCode"/>
      </w:pPr>
      <w:r>
        <w:rPr>
          <w:rStyle w:val="VerbatimChar"/>
        </w:rPr>
        <w:t xml:space="preserve">                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│           Pi Coding Agent (v0.70.5)             │</w:t>
      </w:r>
      <w:r>
        <w:br/>
      </w:r>
      <w:r>
        <w:rPr>
          <w:rStyle w:val="VerbatimChar"/>
        </w:rPr>
        <w:t xml:space="preserve">                │                                                 │</w:t>
      </w:r>
      <w:r>
        <w:br/>
      </w:r>
      <w:r>
        <w:rPr>
          <w:rStyle w:val="VerbatimChar"/>
        </w:rPr>
        <w:t xml:space="preserve">   User Prompt ─┼──► Agent Loop ────► Provider Adapter ──► LLM    │</w:t>
      </w:r>
      <w:r>
        <w:br/>
      </w:r>
      <w:r>
        <w:rPr>
          <w:rStyle w:val="VerbatimChar"/>
        </w:rPr>
        <w:t xml:space="preserve">                │       │  ▲                  │                   │</w:t>
      </w:r>
      <w:r>
        <w:br/>
      </w:r>
      <w:r>
        <w:rPr>
          <w:rStyle w:val="VerbatimChar"/>
        </w:rPr>
        <w:t xml:space="preserve">                │       │  │                  │                   │</w:t>
      </w:r>
      <w:r>
        <w:br/>
      </w:r>
      <w:r>
        <w:rPr>
          <w:rStyle w:val="VerbatimChar"/>
        </w:rPr>
        <w:t xml:space="preserve">                │  ┌────┴──┴──────────────────┴─────┐             │</w:t>
      </w:r>
      <w:r>
        <w:br/>
      </w:r>
      <w:r>
        <w:rPr>
          <w:rStyle w:val="VerbatimChar"/>
        </w:rPr>
        <w:t xml:space="preserve">                │  │   Extension Hook-Bus            │             │</w:t>
      </w:r>
      <w:r>
        <w:br/>
      </w:r>
      <w:r>
        <w:rPr>
          <w:rStyle w:val="VerbatimChar"/>
        </w:rPr>
        <w:t xml:space="preserve">                │  └─────────────────────────────────┘             │</w:t>
      </w:r>
      <w:r>
        <w:br/>
      </w:r>
      <w:r>
        <w:rPr>
          <w:rStyle w:val="VerbatimChar"/>
        </w:rPr>
        <w:t xml:space="preserve">                │       │  │                  │                   │</w:t>
      </w:r>
      <w:r>
        <w:br/>
      </w:r>
      <w:r>
        <w:rPr>
          <w:rStyle w:val="VerbatimChar"/>
        </w:rPr>
        <w:t xml:space="preserve">                │       ▼  │                  ▼                   │</w:t>
      </w:r>
      <w:r>
        <w:br/>
      </w:r>
      <w:r>
        <w:rPr>
          <w:rStyle w:val="VerbatimChar"/>
        </w:rPr>
        <w:t xml:space="preserve">                │  ┌────────┴───────┐    ┌──────────────────┐     │</w:t>
      </w:r>
      <w:r>
        <w:br/>
      </w:r>
      <w:r>
        <w:rPr>
          <w:rStyle w:val="VerbatimChar"/>
        </w:rPr>
        <w:t xml:space="preserve">                │  │  pi-tscg       │    │  pi-tscg         │     │</w:t>
      </w:r>
      <w:r>
        <w:br/>
      </w:r>
      <w:r>
        <w:rPr>
          <w:rStyle w:val="VerbatimChar"/>
        </w:rPr>
        <w:t xml:space="preserve">                │  │  Hook-Block A  │    │  Hook-Block B    │     │</w:t>
      </w:r>
      <w:r>
        <w:br/>
      </w:r>
      <w:r>
        <w:rPr>
          <w:rStyle w:val="VerbatimChar"/>
        </w:rPr>
        <w:t xml:space="preserve">                │  │                │    │                  │     │</w:t>
      </w:r>
      <w:r>
        <w:br/>
      </w:r>
      <w:r>
        <w:rPr>
          <w:rStyle w:val="VerbatimChar"/>
        </w:rPr>
        <w:t xml:space="preserve">                │  │  Hebel 1+3     │    │  Hebel 2         │     │</w:t>
      </w:r>
      <w:r>
        <w:br/>
      </w:r>
      <w:r>
        <w:rPr>
          <w:rStyle w:val="VerbatimChar"/>
        </w:rPr>
        <w:t xml:space="preserve">                │  └───┬────────────┘    └──────────────────┘     │</w:t>
      </w:r>
      <w:r>
        <w:br/>
      </w:r>
      <w:r>
        <w:rPr>
          <w:rStyle w:val="VerbatimChar"/>
        </w:rPr>
        <w:t xml:space="preserve">                │      │                                          │</w:t>
      </w:r>
      <w:r>
        <w:br/>
      </w:r>
      <w:r>
        <w:rPr>
          <w:rStyle w:val="VerbatimChar"/>
        </w:rPr>
        <w:t xml:space="preserve">                └──────┼──────────────────────────────────────────┘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┌─────────────┐</w:t>
      </w:r>
      <w:r>
        <w:br/>
      </w:r>
      <w:r>
        <w:rPr>
          <w:rStyle w:val="VerbatimChar"/>
        </w:rPr>
        <w:t xml:space="preserve">                  │ @tscg/core  │  ← compressDescriptions(...)</w:t>
      </w:r>
      <w:r>
        <w:br/>
      </w:r>
      <w:r>
        <w:rPr>
          <w:rStyle w:val="VerbatimChar"/>
        </w:rPr>
        <w:t xml:space="preserve">                  │   v1.4.3    │     applySDMToText(...)</w:t>
      </w:r>
      <w:r>
        <w:br/>
      </w:r>
      <w:r>
        <w:rPr>
          <w:rStyle w:val="VerbatimChar"/>
        </w:rPr>
        <w:t xml:space="preserve">                  └─────────────┘     estimateTokens(...)</w:t>
      </w:r>
    </w:p>
    <w:p>
      <w:pPr>
        <w:pStyle w:val="FirstParagraph"/>
      </w:pPr>
      <w:r>
        <w:t xml:space="preserve">Drei Hebel, drei Hook-Punkte: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7"/>
        <w:gridCol w:w="931"/>
        <w:gridCol w:w="1397"/>
        <w:gridCol w:w="3261"/>
        <w:gridCol w:w="1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Hebel</w:t>
            </w:r>
          </w:p>
        </w:tc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Wirkung</w:t>
            </w:r>
          </w:p>
        </w:tc>
        <w:tc>
          <w:tcPr/>
          <w:p>
            <w:pPr>
              <w:pStyle w:val="Compact"/>
            </w:pPr>
            <w:r>
              <w:t xml:space="preserve">Provider-Reichweite</w:t>
            </w:r>
          </w:p>
        </w:tc>
        <w:tc>
          <w:tcPr/>
          <w:p>
            <w:pPr>
              <w:pStyle w:val="Compact"/>
            </w:pPr>
            <w:r>
              <w:t xml:space="preserve">Quelle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before_provider_request</w:t>
            </w:r>
          </w:p>
        </w:tc>
        <w:tc>
          <w:tcPr/>
          <w:p>
            <w:pPr>
              <w:pStyle w:val="Compact"/>
            </w:pPr>
            <w:r>
              <w:t xml:space="preserve">Tool-Schema-Compression</w:t>
            </w:r>
          </w:p>
        </w:tc>
        <w:tc>
          <w:tcPr/>
          <w:p>
            <w:pPr>
              <w:pStyle w:val="Compact"/>
            </w:pPr>
            <w:r>
              <w:t xml:space="preserve">alle (Anthropic, OpenAI, Ollama, Gemini)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@tscg/core: compressDescriptions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tool_result</w:t>
            </w:r>
          </w:p>
        </w:tc>
        <w:tc>
          <w:tcPr/>
          <w:p>
            <w:pPr>
              <w:pStyle w:val="Compact"/>
            </w:pPr>
            <w:r>
              <w:t xml:space="preserve">Tool-Output-Compression</w:t>
            </w:r>
          </w:p>
        </w:tc>
        <w:tc>
          <w:tcPr/>
          <w:p>
            <w:pPr>
              <w:pStyle w:val="Compact"/>
            </w:pPr>
            <w:r>
              <w:t xml:space="preserve">alle (Provider-agnostisch, läuft im Pi-Hook)</w:t>
            </w:r>
          </w:p>
        </w:tc>
        <w:tc>
          <w:tcPr/>
          <w:p>
            <w:pPr>
              <w:pStyle w:val="Compact"/>
            </w:pPr>
            <w:r>
              <w:t xml:space="preserve">eigener Code, nutzt</w:t>
            </w:r>
            <w:r>
              <w:t xml:space="preserve"> </w:t>
            </w:r>
            <w:r>
              <w:rPr>
                <w:rStyle w:val="VerbatimChar"/>
              </w:rPr>
              <w:t xml:space="preserve">applySDMToText</w:t>
            </w:r>
            <w:r>
              <w:t xml:space="preserve"> </w:t>
            </w:r>
            <w:r>
              <w:t xml:space="preserve">aus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before_provider_request</w:t>
            </w:r>
          </w:p>
        </w:tc>
        <w:tc>
          <w:tcPr/>
          <w:p>
            <w:pPr>
              <w:pStyle w:val="Compact"/>
            </w:pPr>
            <w:r>
              <w:t xml:space="preserve">Provider-Cache-Awareness</w:t>
            </w:r>
          </w:p>
        </w:tc>
        <w:tc>
          <w:tcPr/>
          <w:p>
            <w:pPr>
              <w:pStyle w:val="Compact"/>
            </w:pPr>
            <w:r>
              <w:t xml:space="preserve">provider-aware: Anthropic ✓, OpenAI ✓ implizit, Gemini Skeleton, Ollama no-op</w:t>
            </w:r>
          </w:p>
        </w:tc>
        <w:tc>
          <w:tcPr/>
          <w:p>
            <w:pPr>
              <w:pStyle w:val="Compact"/>
            </w:pPr>
            <w:r>
              <w:t xml:space="preserve">eigener Code, siehe §5.2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1" w:name="wie-tscgcore-integriert-ist"/>
    <w:p>
      <w:pPr>
        <w:pStyle w:val="Heading2"/>
      </w:pPr>
      <w:r>
        <w:t xml:space="preserve">4. Wie</w:t>
      </w:r>
      <w:r>
        <w:t xml:space="preserve"> </w:t>
      </w:r>
      <w:r>
        <w:rPr>
          <w:rStyle w:val="VerbatimChar"/>
        </w:rPr>
        <w:t xml:space="preserve">@tscg/core</w:t>
      </w:r>
      <w:r>
        <w:t xml:space="preserve"> </w:t>
      </w:r>
      <w:r>
        <w:t xml:space="preserve">integriert ist</w:t>
      </w:r>
    </w:p>
    <w:bookmarkStart w:id="18" w:name="X1ac0ea4eb38c7b314f3a05698fcf0b8544a17c1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compressDescriptions</w:t>
      </w:r>
      <w:r>
        <w:t xml:space="preserve"> </w:t>
      </w:r>
      <w:r>
        <w:t xml:space="preserve">mit voller Operator-Pipeline</w:t>
      </w:r>
    </w:p>
    <w:p>
      <w:pPr>
        <w:pStyle w:val="FirstParagraph"/>
      </w:pPr>
      <w:r>
        <w:t xml:space="preserve">Default-Aufruf war initial:</w:t>
      </w:r>
    </w:p>
    <w:p>
      <w:pPr>
        <w:pStyle w:val="SourceCode"/>
      </w:pPr>
      <w:r>
        <w:rPr>
          <w:rStyle w:val="FunctionTok"/>
        </w:rPr>
        <w:t xml:space="preserve">compressDescriptions</w:t>
      </w:r>
      <w:r>
        <w:rPr>
          <w:rStyle w:val="NormalTok"/>
        </w:rPr>
        <w:t xml:space="preserve">(candidates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model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Inzwischen explizit alle acht Operatoren aktiviert (</w:t>
      </w:r>
      <w:r>
        <w:rPr>
          <w:rStyle w:val="VerbatimChar"/>
        </w:rPr>
        <w:t xml:space="preserve">description-only</w:t>
      </w:r>
      <w:r>
        <w:t xml:space="preserve">-Mode bewahrt JSON-Strukturen, Tool-Names bleiben unangetastet):</w:t>
      </w:r>
    </w:p>
    <w:p>
      <w:pPr>
        <w:pStyle w:val="SourceCode"/>
      </w:pPr>
      <w:r>
        <w:rPr>
          <w:rStyle w:val="FunctionTok"/>
        </w:rPr>
        <w:t xml:space="preserve">compressDescriptions</w:t>
      </w:r>
      <w:r>
        <w:rPr>
          <w:rStyle w:val="NormalTok"/>
        </w:rPr>
        <w:t xml:space="preserve">(candidates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gemappt aus ctx.model.id (Pi → ModelTarget)</w:t>
      </w:r>
      <w:r>
        <w:br/>
      </w:r>
      <w:r>
        <w:rPr>
          <w:rStyle w:val="NormalTok"/>
        </w:rPr>
        <w:t xml:space="preserve">  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"aggressive"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principles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sdm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ccp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Die Map von Pi-Modell-IDs auf deine</w:t>
      </w:r>
      <w:r>
        <w:t xml:space="preserve"> </w:t>
      </w:r>
      <w:r>
        <w:rPr>
          <w:rStyle w:val="VerbatimChar"/>
        </w:rPr>
        <w:t xml:space="preserve">ModelTarget</w:t>
      </w:r>
      <w:r>
        <w:t xml:space="preserve">-Werte sitzt in</w:t>
      </w:r>
      <w:r>
        <w:t xml:space="preserve"> </w:t>
      </w:r>
      <w:r>
        <w:rPr>
          <w:rStyle w:val="VerbatimChar"/>
        </w:rPr>
        <w:t xml:space="preserve">mapPiModelId()</w:t>
      </w:r>
      <w:r>
        <w:t xml:space="preserve"> </w:t>
      </w:r>
      <w:r>
        <w:t xml:space="preserve">— deckt aktuell Claude (Opus/Sonnet/Haiku), GPT (4/4o-mini/5), Llama (3.1/3.2), Mistral, Gemma, Phi, Qwen, DeepSeek ab. Kann ich gerne als PR ins Core-Repo zurückspielen, wenn das für andere Adapter-Autoren nützlich ist.</w:t>
      </w:r>
    </w:p>
    <w:bookmarkEnd w:id="18"/>
    <w:bookmarkStart w:id="19" w:name="determinismus-anforderung-für-hebel-3"/>
    <w:p>
      <w:pPr>
        <w:pStyle w:val="Heading3"/>
      </w:pPr>
      <w:r>
        <w:t xml:space="preserve">4.2 Determinismus-Anforderung für Hebel 3</w:t>
      </w:r>
    </w:p>
    <w:p>
      <w:pPr>
        <w:pStyle w:val="FirstParagraph"/>
      </w:pPr>
      <w:r>
        <w:t xml:space="preserve">Damit Anthropic-Prompt-Caching greift (Hebel 3 unten), muss die Compression byte-deterministisch sein. Test bestätigt:</w:t>
      </w:r>
    </w:p>
    <w:p>
      <w:pPr>
        <w:pStyle w:val="SourceCode"/>
      </w:pPr>
      <w:r>
        <w:rPr>
          <w:rStyle w:val="VerbatimChar"/>
        </w:rPr>
        <w:t xml:space="preserve">two consecutive compressDescriptions(tools, sameOpts).tools</w:t>
      </w:r>
      <w:r>
        <w:br/>
      </w:r>
      <w:r>
        <w:rPr>
          <w:rStyle w:val="VerbatimChar"/>
        </w:rPr>
        <w:t xml:space="preserve">→ JSON.stringify(a) === JSON.stringify(b)  ✓</w:t>
      </w:r>
    </w:p>
    <w:p>
      <w:pPr>
        <w:pStyle w:val="FirstParagraph"/>
      </w:pPr>
      <w:r>
        <w:t xml:space="preserve">Das ist im Core durchgängig der Fall — danke dafür, das ist nicht selbstverständlich für Pipeline-Compiler.</w:t>
      </w:r>
    </w:p>
    <w:bookmarkEnd w:id="19"/>
    <w:bookmarkStart w:id="20" w:name="applysdmtotext-als-standalone-operator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applySDMToText</w:t>
      </w:r>
      <w:r>
        <w:t xml:space="preserve"> </w:t>
      </w:r>
      <w:r>
        <w:t xml:space="preserve">als Standalone-Operator</w:t>
      </w:r>
    </w:p>
    <w:p>
      <w:pPr>
        <w:pStyle w:val="FirstParagraph"/>
      </w:pPr>
      <w:r>
        <w:t xml:space="preserve">Für die Tool-Result-Compression (Hebel 2) nutze ich</w:t>
      </w:r>
      <w:r>
        <w:t xml:space="preserve"> </w:t>
      </w:r>
      <w:r>
        <w:rPr>
          <w:rStyle w:val="VerbatimChar"/>
        </w:rPr>
        <w:t xml:space="preserve">applySDMToText</w:t>
      </w:r>
      <w:r>
        <w:t xml:space="preserve"> </w:t>
      </w:r>
      <w:r>
        <w:t xml:space="preserve">direkt auf rohen Bash-/Find-/WebFetch-Outputs. Das funktioniert hervorragend — die Filler-Pattern-Liste deckt npm-/Cargo-/pip-/git-Logs gut ab.</w:t>
      </w:r>
    </w:p>
    <w:p>
      <w:pPr>
        <w:pStyle w:val="BodyText"/>
      </w:pPr>
      <w:r>
        <w:rPr>
          <w:b/>
          <w:bCs/>
        </w:rPr>
        <w:t xml:space="preserve">Vorschlag:</w:t>
      </w:r>
      <w:r>
        <w:t xml:space="preserve"> </w:t>
      </w:r>
      <w:r>
        <w:t xml:space="preserve">Wenn du eine offizielle</w:t>
      </w:r>
      <w:r>
        <w:t xml:space="preserve"> </w:t>
      </w:r>
      <w:r>
        <w:rPr>
          <w:rStyle w:val="VerbatimChar"/>
        </w:rPr>
        <w:t xml:space="preserve">applyDROToText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applyCCPToText</w:t>
      </w:r>
      <w:r>
        <w:t xml:space="preserve"> </w:t>
      </w:r>
      <w:r>
        <w:t xml:space="preserve">exportieren würdest (oder eine</w:t>
      </w:r>
      <w:r>
        <w:t xml:space="preserve"> </w:t>
      </w:r>
      <w:r>
        <w:rPr>
          <w:rStyle w:val="VerbatimChar"/>
        </w:rPr>
        <w:t xml:space="preserve">compressFreeText(text, opts)</w:t>
      </w:r>
      <w:r>
        <w:t xml:space="preserve"> </w:t>
      </w:r>
      <w:r>
        <w:t xml:space="preserve">als Convenience-API), könnten Tool-Output-Compressors deutlich mehr aus dem Framework herausholen, ohne die Tool-Schema-spezifischen Operatoren zu missbrauchen.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was-wir-on-top-gebaut-haben"/>
    <w:p>
      <w:pPr>
        <w:pStyle w:val="Heading2"/>
      </w:pPr>
      <w:r>
        <w:t xml:space="preserve">5. Was wir on top gebaut haben</w:t>
      </w:r>
    </w:p>
    <w:bookmarkStart w:id="22" w:name="hebel-2-tool-result-compression"/>
    <w:p>
      <w:pPr>
        <w:pStyle w:val="Heading3"/>
      </w:pPr>
      <w:r>
        <w:t xml:space="preserve">5.1 Hebel 2 — Tool-Result-Compression</w:t>
      </w:r>
    </w:p>
    <w:p>
      <w:pPr>
        <w:pStyle w:val="FirstParagraph"/>
      </w:pPr>
      <w:r>
        <w:t xml:space="preserve">Pi feuert</w:t>
      </w:r>
      <w:r>
        <w:t xml:space="preserve"> </w:t>
      </w:r>
      <w:r>
        <w:rPr>
          <w:rStyle w:val="VerbatimChar"/>
        </w:rPr>
        <w:t xml:space="preserve">tool_result</w:t>
      </w:r>
      <w:r>
        <w:t xml:space="preserve"> </w:t>
      </w:r>
      <w:r>
        <w:t xml:space="preserve">nach jeder Tool-Ausführung. Das Event enthält</w:t>
      </w:r>
      <w:r>
        <w:t xml:space="preserve"> </w:t>
      </w:r>
      <w:r>
        <w:rPr>
          <w:rStyle w:val="VerbatimChar"/>
        </w:rPr>
        <w:t xml:space="preserve">content: (TextContent | ImageContent)[]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toolName</w:t>
      </w:r>
      <w:r>
        <w:t xml:space="preserve">, mutable Return.</w:t>
      </w:r>
    </w:p>
    <w:p>
      <w:pPr>
        <w:pStyle w:val="BodyText"/>
      </w:pPr>
      <w:r>
        <w:t xml:space="preserve">Die Extension registriert einen Hook und wendet pro Tool-Typ eine Pipeline an: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compressToolResultText</w:t>
      </w:r>
      <w:r>
        <w:rPr>
          <w:rStyle w:val="NormalTok"/>
        </w:rPr>
        <w:t xml:space="preserve">(toolName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(toolName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isCustomTool</w:t>
      </w:r>
      <w:r>
        <w:rPr>
          <w:rStyle w:val="NormalTok"/>
        </w:rPr>
        <w:t xml:space="preserve">(toolName)) {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collapseWhitespace</w:t>
      </w:r>
      <w:r>
        <w:rPr>
          <w:rStyle w:val="NormalTok"/>
        </w:rPr>
        <w:t xml:space="preserve">(out)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run-of-newlines, trailing-WS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foldDuplicateLines</w:t>
      </w:r>
      <w:r>
        <w:rPr>
          <w:rStyle w:val="NormalTok"/>
        </w:rPr>
        <w:t xml:space="preserve">(out)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identische Folgezeilen → "⤺ ×N"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applySDMToText</w:t>
      </w:r>
      <w:r>
        <w:rPr>
          <w:rStyle w:val="NormalTok"/>
        </w:rPr>
        <w:t xml:space="preserve">(out)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← @tscg/core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estimateTokens</w:t>
      </w:r>
      <w:r>
        <w:rPr>
          <w:rStyle w:val="NormalTok"/>
        </w:rPr>
        <w:t xml:space="preserve">(out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budget) {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headTailTruncate</w:t>
      </w:r>
      <w:r>
        <w:rPr>
          <w:rStyle w:val="NormalTok"/>
        </w:rPr>
        <w:t xml:space="preserve">(out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60% head + 35% tail + Marker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Token-Budget per Default 4 000 (settings-konfigurierbar).</w:t>
      </w:r>
      <w:r>
        <w:t xml:space="preserve"> </w:t>
      </w:r>
      <w:r>
        <w:rPr>
          <w:rStyle w:val="VerbatimChar"/>
        </w:rPr>
        <w:t xml:space="preserve">Edit</w:t>
      </w:r>
      <w:r>
        <w:t xml:space="preserve">/</w:t>
      </w:r>
      <w:r>
        <w:rPr>
          <w:rStyle w:val="VerbatimChar"/>
        </w:rPr>
        <w:t xml:space="preserve">Write</w:t>
      </w:r>
      <w:r>
        <w:t xml:space="preserve">/</w:t>
      </w:r>
      <w:r>
        <w:rPr>
          <w:rStyle w:val="VerbatimChar"/>
        </w:rPr>
        <w:t xml:space="preserve">NotebookEdit</w:t>
      </w:r>
      <w:r>
        <w:t xml:space="preserve"> </w:t>
      </w:r>
      <w:r>
        <w:t xml:space="preserve">sind hard ausgeschlossen — Diffs müssen byte-exakt bleiben.</w:t>
      </w:r>
    </w:p>
    <w:p>
      <w:pPr>
        <w:pStyle w:val="BodyText"/>
      </w:pPr>
      <w:r>
        <w:rPr>
          <w:b/>
          <w:bCs/>
        </w:rPr>
        <w:t xml:space="preserve">Empirisch (synthetischer Test):</w:t>
      </w:r>
      <w:r>
        <w:t xml:space="preserve"> </w:t>
      </w:r>
      <w:r>
        <w:t xml:space="preserve">auf einem npm-install-artigen Output (~35 KB, 8 700 Tokens) liefert die Pipeline</w:t>
      </w:r>
      <w:r>
        <w:t xml:space="preserve"> </w:t>
      </w:r>
      <w:r>
        <w:rPr>
          <w:b/>
          <w:bCs/>
        </w:rPr>
        <w:t xml:space="preserve">58.5 % Reduktion</w:t>
      </w:r>
      <w:r>
        <w:t xml:space="preserve"> </w:t>
      </w:r>
      <w:r>
        <w:t xml:space="preserve">auf 3 600 Tokens. Auf live-</w:t>
      </w:r>
      <w:r>
        <w:rPr>
          <w:rStyle w:val="VerbatimChar"/>
        </w:rPr>
        <w:t xml:space="preserve">find</w:t>
      </w:r>
      <w:r>
        <w:t xml:space="preserve">-Outputs in der unten dokumentierten Session sogar</w:t>
      </w:r>
      <w:r>
        <w:t xml:space="preserve"> </w:t>
      </w:r>
      <w:r>
        <w:rPr>
          <w:b/>
          <w:bCs/>
        </w:rPr>
        <w:t xml:space="preserve">63 %</w:t>
      </w:r>
      <w:r>
        <w:t xml:space="preserve">.</w:t>
      </w:r>
    </w:p>
    <w:bookmarkEnd w:id="22"/>
    <w:bookmarkStart w:id="28" w:name="hebel-3-provider-cache-awareness-layer"/>
    <w:p>
      <w:pPr>
        <w:pStyle w:val="Heading3"/>
      </w:pPr>
      <w:r>
        <w:t xml:space="preserve">5.2 Hebel 3 — Provider-Cache-Awareness Layer</w:t>
      </w:r>
    </w:p>
    <w:p>
      <w:pPr>
        <w:pStyle w:val="FirstParagraph"/>
      </w:pPr>
      <w:r>
        <w:t xml:space="preserve">Cache-Mechanismen sind</w:t>
      </w:r>
      <w:r>
        <w:t xml:space="preserve"> </w:t>
      </w:r>
      <w:r>
        <w:rPr>
          <w:b/>
          <w:bCs/>
        </w:rPr>
        <w:t xml:space="preserve">technisch grundverschieden</w:t>
      </w:r>
      <w:r>
        <w:t xml:space="preserve"> </w:t>
      </w:r>
      <w:r>
        <w:t xml:space="preserve">zwischen den Providern. Hebel 3 ist deshalb keine eine Aktion, sondern ein</w:t>
      </w:r>
      <w:r>
        <w:t xml:space="preserve"> </w:t>
      </w:r>
      <w:r>
        <w:rPr>
          <w:b/>
          <w:bCs/>
        </w:rPr>
        <w:t xml:space="preserve">Switch über den erkannten Provider</w:t>
      </w:r>
      <w:r>
        <w:t xml:space="preserve">, mit pro Provider unterschiedlicher Implementation. Voraussetzung für alle Varianten: deterministische Compression aus 4.2 — wäre die Compression nicht byte-stabil, würde keiner der Cache-Mechanismen greifen.</w:t>
      </w:r>
    </w:p>
    <w:p>
      <w:pPr>
        <w:pStyle w:val="BodyText"/>
      </w:pPr>
      <w:r>
        <w:t xml:space="preserve">Die Provider-Erkennung sitzt in einer dedizierten Helper-Funktion und nutzt mehrere Signale: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detectProvider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modelId)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Tool-Format-Inspektion (zuverlässig)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(tools[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has </w:t>
      </w:r>
      <w:r>
        <w:rPr>
          <w:rStyle w:val="StringTok"/>
        </w:rPr>
        <w:t xml:space="preserve">"input_schema"</w:t>
      </w:r>
      <w:r>
        <w:rPr>
          <w:rStyle w:val="NormalTok"/>
        </w:rPr>
        <w:t xml:space="preserve">)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(tools[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)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Anthropic-spezifisches `system`-Feld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system</w:t>
      </w:r>
      <w:r>
        <w:rPr>
          <w:rStyle w:val="NormalTok"/>
        </w:rPr>
        <w:t xml:space="preserve"> existiert)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Model-ID-Heuristiken (Fallback)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 startsWith </w:t>
      </w:r>
      <w:r>
        <w:rPr>
          <w:rStyle w:val="StringTok"/>
        </w:rPr>
        <w:t xml:space="preserve">"claude"</w:t>
      </w:r>
      <w:r>
        <w:rPr>
          <w:rStyle w:val="NormalTok"/>
        </w:rPr>
        <w:t xml:space="preserve">)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 matches </w:t>
      </w:r>
      <w:r>
        <w:rPr>
          <w:rStyle w:val="OperatorTok"/>
        </w:rPr>
        <w:t xml:space="preserve">/^</w:t>
      </w:r>
      <w:r>
        <w:rPr>
          <w:rStyle w:val="NormalTok"/>
        </w:rPr>
        <w:t xml:space="preserve">(gpt</w:t>
      </w:r>
      <w:r>
        <w:rPr>
          <w:rStyle w:val="OperatorTok"/>
        </w:rPr>
        <w:t xml:space="preserve">-|</w:t>
      </w:r>
      <w:r>
        <w:rPr>
          <w:rStyle w:val="NormalTok"/>
        </w:rPr>
        <w:t xml:space="preserve">o1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o3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o4)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)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 startsWith </w:t>
      </w:r>
      <w:r>
        <w:rPr>
          <w:rStyle w:val="StringTok"/>
        </w:rPr>
        <w:t xml:space="preserve">"gemini"</w:t>
      </w:r>
      <w:r>
        <w:rPr>
          <w:rStyle w:val="NormalTok"/>
        </w:rPr>
        <w:t xml:space="preserve">)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 matches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qwen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llama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mistral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Auf Basis dieser Erkennung springen unterschiedliche Cache-Strategien an:</w:t>
      </w:r>
    </w:p>
    <w:bookmarkStart w:id="23" w:name="anthropic-api-cache_control-marker"/>
    <w:p>
      <w:pPr>
        <w:pStyle w:val="Heading4"/>
      </w:pPr>
      <w:r>
        <w:t xml:space="preserve">5.2.1 Anthropic API —</w:t>
      </w:r>
      <w:r>
        <w:t xml:space="preserve"> </w:t>
      </w:r>
      <w:r>
        <w:rPr>
          <w:rStyle w:val="VerbatimChar"/>
        </w:rPr>
        <w:t xml:space="preserve">cache_control</w:t>
      </w:r>
      <w:r>
        <w:t xml:space="preserve"> </w:t>
      </w:r>
      <w:r>
        <w:t xml:space="preserve">Marker</w:t>
      </w:r>
    </w:p>
    <w:p>
      <w:pPr>
        <w:pStyle w:val="FirstParagraph"/>
      </w:pPr>
      <w:r>
        <w:t xml:space="preserve">Anthropic cached den gesamten Tools-Array, sobald ein</w:t>
      </w:r>
      <w:r>
        <w:t xml:space="preserve"> </w:t>
      </w:r>
      <w:r>
        <w:rPr>
          <w:rStyle w:val="VerbatimChar"/>
        </w:rPr>
        <w:t xml:space="preserve">cache_control: { type: "ephemeral" }</w:t>
      </w:r>
      <w:r>
        <w:t xml:space="preserve"> </w:t>
      </w:r>
      <w:r>
        <w:t xml:space="preserve">auf einem Tool-Eintrag sitzt. Die Extension setzt den Marker auf das letzte Tool: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(provider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merged[lastIdx]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lastTool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cache_control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"ephemeral"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cachedRequests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cacheProviderMode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Effekt: ab dem 2. LLM-Call zahlt der Tool-Block ~10 % (cache_read_input_tokens) statt 100 % der Input-Token-Kosten — multipliziert mit der TSCG-Ersparnis aus Hebel 1, nicht additiv. Über einen 20-Schritt-Loop kumuliert das auf ~85-90 % weniger Tool-Token-Cost.</w:t>
      </w:r>
    </w:p>
    <w:bookmarkEnd w:id="23"/>
    <w:bookmarkStart w:id="24" w:name="X394fb3ac8eb90612c48df28e94c7e789eec90f4"/>
    <w:p>
      <w:pPr>
        <w:pStyle w:val="Heading4"/>
      </w:pPr>
      <w:r>
        <w:t xml:space="preserve">5.2.2 OpenAI API — automatische Prefix-Caching, kein Marker nötig</w:t>
      </w:r>
    </w:p>
    <w:p>
      <w:pPr>
        <w:pStyle w:val="FirstParagraph"/>
      </w:pPr>
      <w:r>
        <w:t xml:space="preserve">OpenAI’s API cached</w:t>
      </w:r>
      <w:r>
        <w:t xml:space="preserve"> </w:t>
      </w:r>
      <w:r>
        <w:rPr>
          <w:b/>
          <w:bCs/>
        </w:rPr>
        <w:t xml:space="preserve">automatisch</w:t>
      </w:r>
      <w:r>
        <w:t xml:space="preserve"> </w:t>
      </w:r>
      <w:r>
        <w:t xml:space="preserve">Input-Prefixes ab 1024 Tokens, sobald sie identisch zu einem vorherigen Call sind. Es gibt keinen</w:t>
      </w:r>
      <w:r>
        <w:t xml:space="preserve"> </w:t>
      </w:r>
      <w:r>
        <w:rPr>
          <w:rStyle w:val="VerbatimChar"/>
        </w:rPr>
        <w:t xml:space="preserve">cache_control</w:t>
      </w:r>
      <w:r>
        <w:t xml:space="preserve">-Marker. Voraussetzung: der Prefix muss byte-stabil sein — was unsere deterministische TSCG-Compression genau liefert.</w:t>
      </w:r>
    </w:p>
    <w:p>
      <w:pPr>
        <w:pStyle w:val="BodyText"/>
      </w:pPr>
      <w:r>
        <w:t xml:space="preserve">Die Extension setzt deshalb keinen Marker, sondern</w:t>
      </w:r>
      <w:r>
        <w:t xml:space="preserve"> </w:t>
      </w:r>
      <w:r>
        <w:rPr>
          <w:b/>
          <w:bCs/>
        </w:rPr>
        <w:t xml:space="preserve">zählt</w:t>
      </w:r>
      <w:r>
        <w:t xml:space="preserve"> </w:t>
      </w:r>
      <w:r>
        <w:t xml:space="preserve">Calls die für Auto-Cache qualifizieren (Heuristik: Tool-Block ≥ 1024 Tokens nach Compression):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(provider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compressedTokens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cachedRequests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cacheProviderMode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Effekt: 50 % Rabatt auf gecachte Tool-Tokens bei OpenAI ab dem 2. Call.</w:t>
      </w:r>
      <w:r>
        <w:t xml:space="preserve"> </w:t>
      </w:r>
      <w:r>
        <w:rPr>
          <w:b/>
          <w:bCs/>
        </w:rPr>
        <w:t xml:space="preserve">Wir tun nichts aktiv</w:t>
      </w:r>
      <w:r>
        <w:t xml:space="preserve"> </w:t>
      </w:r>
      <w:r>
        <w:t xml:space="preserve">— wir profitieren davon, dass TSCG deterministisch komprimiert.</w:t>
      </w:r>
    </w:p>
    <w:bookmarkEnd w:id="24"/>
    <w:bookmarkStart w:id="25" w:name="X9c235f92146e9bba386ab624ef451d9654ebfaa"/>
    <w:p>
      <w:pPr>
        <w:pStyle w:val="Heading4"/>
      </w:pPr>
      <w:r>
        <w:t xml:space="preserve">5.2.3 Ollama / lokale Modelle — kein Cache-Mechanismus</w:t>
      </w:r>
    </w:p>
    <w:p>
      <w:pPr>
        <w:pStyle w:val="FirstParagraph"/>
      </w:pPr>
      <w:r>
        <w:t xml:space="preserve">Ollama hat kein Token-Pricing und keinen API-level Tool-Cache. Modell-State bleibt im VRAM, aber das ist orthogonal zu Hebel 3. Die Extension macht hier</w:t>
      </w:r>
      <w:r>
        <w:t xml:space="preserve"> </w:t>
      </w:r>
      <w:r>
        <w:rPr>
          <w:b/>
          <w:bCs/>
        </w:rPr>
        <w:t xml:space="preserve">keine Aktion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lastProvider: "ollama"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cacheProviderMode: null</w:t>
      </w:r>
      <w:r>
        <w:t xml:space="preserve">. Das ist korrekt, weil bei Ollama die Wirkung von Hebel 1+2 (Tokens reduzieren = Inferenzzeit reduzieren) ausreicht.</w:t>
      </w:r>
    </w:p>
    <w:bookmarkEnd w:id="25"/>
    <w:bookmarkStart w:id="26" w:name="X639e3023eda14c1a74b9e955f9bdadcec1b7d7c"/>
    <w:p>
      <w:pPr>
        <w:pStyle w:val="Heading4"/>
      </w:pPr>
      <w:r>
        <w:t xml:space="preserve">5.2.4 Google Gemini API — Skeleton-Hook, noch nicht aktiv</w:t>
      </w:r>
    </w:p>
    <w:p>
      <w:pPr>
        <w:pStyle w:val="FirstParagraph"/>
      </w:pPr>
      <w:r>
        <w:t xml:space="preserve">Google’s API kennt einen separaten</w:t>
      </w:r>
      <w:r>
        <w:t xml:space="preserve"> </w:t>
      </w:r>
      <w:r>
        <w:rPr>
          <w:rStyle w:val="VerbatimChar"/>
        </w:rPr>
        <w:t xml:space="preserve">cachedContents</w:t>
      </w:r>
      <w:r>
        <w:t xml:space="preserve">-Endpoint: man legt einen Cache</w:t>
      </w:r>
      <w:r>
        <w:t xml:space="preserve"> </w:t>
      </w:r>
      <w:r>
        <w:rPr>
          <w:b/>
          <w:bCs/>
        </w:rPr>
        <w:t xml:space="preserve">vor der Generation</w:t>
      </w:r>
      <w:r>
        <w:t xml:space="preserve"> </w:t>
      </w:r>
      <w:r>
        <w:t xml:space="preserve">explizit an, bekommt einen Cache-Namen, und referenziert diesen im nachfolgenden</w:t>
      </w:r>
      <w:r>
        <w:t xml:space="preserve"> </w:t>
      </w:r>
      <w:r>
        <w:rPr>
          <w:rStyle w:val="VerbatimChar"/>
        </w:rPr>
        <w:t xml:space="preserve">generateContent</w:t>
      </w:r>
      <w:r>
        <w:t xml:space="preserve">-Call statt den Inhalt inline mitzuschicken. Komplett anderer Mechanismus als bei Anthropic (Marker) oder OpenAI (auto).</w:t>
      </w:r>
    </w:p>
    <w:p>
      <w:pPr>
        <w:pStyle w:val="BodyText"/>
      </w:pPr>
      <w:r>
        <w:t xml:space="preserve">Im Code sitzt ein klar markierter Skeleton-Hook, an dem ein PR sofort andocken kann:</w:t>
      </w:r>
    </w:p>
    <w:p>
      <w:pPr>
        <w:pStyle w:val="SourceCode"/>
      </w:pP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(provider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"google"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(gemini): Use cachedContents API.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Plan: on first call, POST to /v1beta/cachedContents with the tools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payload and TTL; receive a cache name; on subsequent calls reference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cache name in `cachedContent` field instead of inlining tools.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noch nicht implementiert. Hängt davon ab, ob Pi einen</w:t>
      </w:r>
      <w:r>
        <w:t xml:space="preserve"> </w:t>
      </w:r>
      <w:r>
        <w:rPr>
          <w:rStyle w:val="VerbatimChar"/>
        </w:rPr>
        <w:t xml:space="preserve">google</w:t>
      </w:r>
      <w:r>
        <w:t xml:space="preserve"> </w:t>
      </w:r>
      <w:r>
        <w:t xml:space="preserve">Provider supporten wird (aktuell nicht im Default). Implementierungsaufwand: schätze ein bis zwei Tage Entwicklung plus Tests, weil cachedContents-API und google-genai-SDK eingebunden werden müssen.</w:t>
      </w:r>
    </w:p>
    <w:bookmarkEnd w:id="26"/>
    <w:bookmarkStart w:id="27" w:name="telemetrie-pro-provider"/>
    <w:p>
      <w:pPr>
        <w:pStyle w:val="Heading4"/>
      </w:pPr>
      <w:r>
        <w:t xml:space="preserve">5.2.5 Telemetrie pro Provider</w:t>
      </w:r>
    </w:p>
    <w:p>
      <w:pPr>
        <w:pStyle w:val="FirstParagraph"/>
      </w:pPr>
      <w:r>
        <w:t xml:space="preserve">Die Stats halten zwei zusätzliche Felder:</w:t>
      </w:r>
    </w:p>
    <w:p>
      <w:pPr>
        <w:pStyle w:val="SourceCode"/>
      </w:pPr>
      <w:r>
        <w:rPr>
          <w:rStyle w:val="NormalTok"/>
        </w:rPr>
        <w:t xml:space="preserve">cachedRequests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gesamt: Marker gesetzt ODER auto-eligibel</w:t>
      </w:r>
      <w:r>
        <w:br/>
      </w:r>
      <w:r>
        <w:rPr>
          <w:rStyle w:val="NormalTok"/>
        </w:rPr>
        <w:t xml:space="preserve">cacheProviderMode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letzter erkannter Modus</w:t>
      </w:r>
      <w:r>
        <w:br/>
      </w:r>
      <w:r>
        <w:rPr>
          <w:rStyle w:val="NormalTok"/>
        </w:rPr>
        <w:t xml:space="preserve">lastProvider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letzter erkannter Provider</w:t>
      </w:r>
    </w:p>
    <w:p>
      <w:pPr>
        <w:pStyle w:val="FirstParagraph"/>
      </w:pPr>
      <w:r>
        <w:t xml:space="preserve">Im Footer erscheint dadurch:</w:t>
      </w:r>
    </w:p>
    <w:p>
      <w:pPr>
        <w:pStyle w:val="SourceCode"/>
      </w:pPr>
      <w:r>
        <w:rPr>
          <w:rStyle w:val="VerbatimChar"/>
        </w:rPr>
        <w:t xml:space="preserve">TSCG: ... · cache 12 marker (aggressive)        ← Anthropic-Lauf</w:t>
      </w:r>
      <w:r>
        <w:br/>
      </w:r>
      <w:r>
        <w:rPr>
          <w:rStyle w:val="VerbatimChar"/>
        </w:rPr>
        <w:t xml:space="preserve">TSCG: ... · cache 8 auto (aggressive)           ← OpenAI-Lauf</w:t>
      </w:r>
      <w:r>
        <w:br/>
      </w:r>
      <w:r>
        <w:rPr>
          <w:rStyle w:val="VerbatimChar"/>
        </w:rPr>
        <w:t xml:space="preserve">TSCG: ... (aggressive)                          ← Ollama-Lauf, kein Cache-Feld</w:t>
      </w:r>
    </w:p>
    <w:p>
      <w:pPr>
        <w:pStyle w:val="FirstParagraph"/>
      </w:pPr>
      <w:r>
        <w:t xml:space="preserve">Im</w:t>
      </w:r>
      <w:r>
        <w:t xml:space="preserve"> </w:t>
      </w:r>
      <w:r>
        <w:rPr>
          <w:rStyle w:val="VerbatimChar"/>
        </w:rPr>
        <w:t xml:space="preserve">/tscg status</w:t>
      </w:r>
      <w:r>
        <w:t xml:space="preserve"> </w:t>
      </w:r>
      <w:r>
        <w:t xml:space="preserve">zusätzlich der erkannte Provider und der letzte Cache-Modus.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3" w:name="reale-messdaten"/>
    <w:p>
      <w:pPr>
        <w:pStyle w:val="Heading2"/>
      </w:pPr>
      <w:r>
        <w:t xml:space="preserve">6. Reale Messdaten</w:t>
      </w:r>
    </w:p>
    <w:p>
      <w:pPr>
        <w:pStyle w:val="FirstParagraph"/>
      </w:pPr>
      <w:r>
        <w:t xml:space="preserve">Live-Session vom 28. April 2026, Pi v0.70.5, Modell</w:t>
      </w:r>
      <w:r>
        <w:t xml:space="preserve"> </w:t>
      </w:r>
      <w:r>
        <w:rPr>
          <w:rStyle w:val="VerbatimChar"/>
        </w:rPr>
        <w:t xml:space="preserve">qwen3.5:9b</w:t>
      </w:r>
      <w:r>
        <w:t xml:space="preserve"> </w:t>
      </w:r>
      <w:r>
        <w:t xml:space="preserve">über lokales Ollama.</w:t>
      </w:r>
      <w:r>
        <w:t xml:space="preserve"> </w:t>
      </w:r>
      <w:r>
        <w:rPr>
          <w:b/>
          <w:bCs/>
        </w:rPr>
        <w:t xml:space="preserve">Endstand der Session:</w:t>
      </w:r>
    </w:p>
    <w:p>
      <w:pPr>
        <w:pStyle w:val="SourceCode"/>
      </w:pPr>
      <w:r>
        <w:rPr>
          <w:rStyle w:val="VerbatimChar"/>
        </w:rPr>
        <w:t xml:space="preserve">TSCG: last −8.3% · session −8.3% · res −62% · saved 14.6k (aggressive)</w:t>
      </w:r>
      <w:r>
        <w:br/>
      </w:r>
      <w:r>
        <w:rPr>
          <w:rStyle w:val="VerbatimChar"/>
        </w:rPr>
        <w:t xml:space="preserve">Pi:   ↑503k · ↓15k · 8.9%/262k context (auto)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1584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Metrik</w:t>
            </w:r>
          </w:p>
        </w:tc>
        <w:tc>
          <w:tcPr/>
          <w:p>
            <w:pPr>
              <w:pStyle w:val="Compact"/>
            </w:pPr>
            <w:r>
              <w:t xml:space="preserve">Wert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Schema-Compression (Hebel 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8.3 %</w:t>
            </w:r>
            <w:r>
              <w:t xml:space="preserve"> </w:t>
            </w:r>
            <w:r>
              <w:t xml:space="preserve">stabil über die ganze Session</w:t>
            </w:r>
          </w:p>
        </w:tc>
        <w:tc>
          <w:tcPr/>
          <w:p>
            <w:pPr>
              <w:pStyle w:val="Compact"/>
            </w:pPr>
            <w:r>
              <w:t xml:space="preserve">Beobachtung: konstant über</w:t>
            </w:r>
            <w:r>
              <w:t xml:space="preserve"> </w:t>
            </w:r>
            <w:r>
              <w:rPr>
                <w:i/>
                <w:iCs/>
              </w:rPr>
              <w:t xml:space="preserve">alle</w:t>
            </w:r>
            <w:r>
              <w:t xml:space="preserve"> </w:t>
            </w:r>
            <w:r>
              <w:t xml:space="preserve">Requests, weil Pi denselben Built-in-Tool-Set (read/bash/edit/write/grep/find/ls) bei jedem Call schickt → strukturelle Obergrenze auf diesem Set. Siehe Abschnitt 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Result-Compression (Hebel 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62 %</w:t>
            </w:r>
          </w:p>
        </w:tc>
        <w:tc>
          <w:tcPr/>
          <w:p>
            <w:pPr>
              <w:pStyle w:val="Compact"/>
            </w:pPr>
            <w:r>
              <w:t xml:space="preserve">Dominanter Hebel. Greift bei</w:t>
            </w:r>
            <w:r>
              <w:t xml:space="preserve"> </w:t>
            </w:r>
            <w:r>
              <w:rPr>
                <w:rStyle w:val="VerbatimChar"/>
              </w:rPr>
              <w:t xml:space="preserve">find</w:t>
            </w:r>
            <w:r>
              <w:t xml:space="preserve">/</w:t>
            </w:r>
            <w:r>
              <w:rPr>
                <w:rStyle w:val="VerbatimChar"/>
              </w:rPr>
              <w:t xml:space="preserve">bash</w:t>
            </w:r>
            <w:r>
              <w:t xml:space="preserve"> </w:t>
            </w:r>
            <w:r>
              <w:t xml:space="preserve">mit großen Outputs (z.B. ein</w:t>
            </w:r>
            <w:r>
              <w:t xml:space="preserve"> </w:t>
            </w:r>
            <w:r>
              <w:rPr>
                <w:rStyle w:val="VerbatimChar"/>
              </w:rPr>
              <w:t xml:space="preserve">find ~/pi-extensions/pi-tscg/node_modules</w:t>
            </w:r>
            <w:r>
              <w:t xml:space="preserve"> </w:t>
            </w:r>
            <w:r>
              <w:t xml:space="preserve">mit 11 356 Datei-Pfaden — über 4 000 Tokens, head/tail-Truncation aktiv).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Cache-Awareness (Hebel 3)</w:t>
            </w:r>
          </w:p>
        </w:tc>
        <w:tc>
          <w:tcPr/>
          <w:p>
            <w:pPr>
              <w:pStyle w:val="Compact"/>
            </w:pPr>
            <w:r>
              <w:t xml:space="preserve">korrekt no-op</w:t>
            </w:r>
          </w:p>
        </w:tc>
        <w:tc>
          <w:tcPr/>
          <w:p>
            <w:pPr>
              <w:pStyle w:val="Compact"/>
            </w:pPr>
            <w:r>
              <w:t xml:space="preserve">Provider-Detection erkannte</w:t>
            </w:r>
            <w:r>
              <w:t xml:space="preserve"> </w:t>
            </w:r>
            <w:r>
              <w:rPr>
                <w:rStyle w:val="VerbatimChar"/>
              </w:rPr>
              <w:t xml:space="preserve">ollama</w:t>
            </w:r>
            <w:r>
              <w:t xml:space="preserve">. Bei Ollama gibt es kein API-Cache, also keine Aktion. Mit</w:t>
            </w:r>
            <w:r>
              <w:t xml:space="preserve"> </w:t>
            </w:r>
            <w:r>
              <w:rPr>
                <w:rStyle w:val="VerbatimChar"/>
              </w:rPr>
              <w:t xml:space="preserve">pi --provider anthropic --model claude-haiku</w:t>
            </w:r>
            <w:r>
              <w:t xml:space="preserve"> </w:t>
            </w:r>
            <w:r>
              <w:t xml:space="preserve">würde Hebel 3 in der Variante 5.2.1 anspringen (cache_control); mit OpenAI-API in Variante 5.2.2 (auto-Prefix-Cache via Determinismus).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saved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14.6k Tokens</w:t>
            </w:r>
          </w:p>
        </w:tc>
        <w:tc>
          <w:tcPr/>
          <w:p>
            <w:pPr>
              <w:pStyle w:val="Compact"/>
            </w:pPr>
            <w:r>
              <w:t xml:space="preserve">≈ 10 500 Wörter; Aufteilung: ~700 Schema, ~13 900 Result.</w:t>
            </w:r>
          </w:p>
        </w:tc>
      </w:tr>
    </w:tbl>
    <w:bookmarkStart w:id="30" w:name="verhältnis-zur-gesamt-token-last"/>
    <w:p>
      <w:pPr>
        <w:pStyle w:val="Heading3"/>
      </w:pPr>
      <w:r>
        <w:t xml:space="preserve">Verhältnis zur Gesamt-Token-Last</w:t>
      </w:r>
    </w:p>
    <w:p>
      <w:pPr>
        <w:pStyle w:val="FirstParagraph"/>
      </w:pPr>
      <w:r>
        <w:t xml:space="preserve">Pi hat in dieser Session insgesamt</w:t>
      </w:r>
      <w:r>
        <w:t xml:space="preserve"> </w:t>
      </w:r>
      <w:r>
        <w:rPr>
          <w:b/>
          <w:bCs/>
        </w:rPr>
        <w:t xml:space="preserve">↑503 K Input-Tokens</w:t>
      </w:r>
      <w:r>
        <w:t xml:space="preserve"> </w:t>
      </w:r>
      <w:r>
        <w:t xml:space="preserve">an das Modell geschickt. Davon: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Tool-Schemas (~6 K pro Request × N Requests)</w:t>
      </w:r>
      <w:r>
        <w:t xml:space="preserve"> </w:t>
      </w:r>
      <w:r>
        <w:t xml:space="preserve">→ Hebel 1 wirkt direkt, aber der Anteil am Gesamt-Input ist klein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Tool-Results (Bash/Find/Read mit großen Outputs)</w:t>
      </w:r>
      <w:r>
        <w:t xml:space="preserve"> </w:t>
      </w:r>
      <w:r>
        <w:t xml:space="preserve">→ Hebel 2 wirkt direkt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Conversation-History</w:t>
      </w:r>
      <w:r>
        <w:t xml:space="preserve"> </w:t>
      </w:r>
      <w:r>
        <w:t xml:space="preserve">(kumulierte vorherige Messages, System-Prompt, User-Turns) → wächst mit jedem Turn,</w:t>
      </w:r>
      <w:r>
        <w:t xml:space="preserve"> </w:t>
      </w:r>
      <w:r>
        <w:rPr>
          <w:b/>
          <w:bCs/>
        </w:rPr>
        <w:t xml:space="preserve">TSCG greift hier nicht</w:t>
      </w:r>
      <w:r>
        <w:t xml:space="preserve"> </w:t>
      </w:r>
      <w:r>
        <w:t xml:space="preserve">(siehe 8.3 als möglicher künftiger Hebel)</w:t>
      </w:r>
    </w:p>
    <w:p>
      <w:pPr>
        <w:pStyle w:val="FirstParagraph"/>
      </w:pPr>
      <w:r>
        <w:t xml:space="preserve">Das erklärt, warum 14.6 K saved sich zur ↑503 K Total-Last als „nur” 2.9 % anfühlt — die größere Hälfte des Token-Verbrauchs sitzt in der Conversation-History, an die TSCG nach Design nicht rangeht. Die wirklich relevante Vergleichsbasis ist Tool-Schemas + Tool-Results, nicht Total-Input — und auf dieser Basis ist die Wirkung deutlich (Schemas sauber an strukturellem Cap, Results dominant komprimiert).</w:t>
      </w:r>
    </w:p>
    <w:bookmarkEnd w:id="30"/>
    <w:bookmarkStart w:id="31" w:name="aufgaben-in-der-session"/>
    <w:p>
      <w:pPr>
        <w:pStyle w:val="Heading3"/>
      </w:pPr>
      <w:r>
        <w:t xml:space="preserve">Aufgaben in der Session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Geschichten-Generierung</w:t>
      </w:r>
      <w:r>
        <w:t xml:space="preserve"> </w:t>
      </w:r>
      <w:r>
        <w:t xml:space="preserve">— Markdown-Datei (</w:t>
      </w:r>
      <w:r>
        <w:rPr>
          <w:rStyle w:val="VerbatimChar"/>
        </w:rPr>
        <w:t xml:space="preserve">der-furchtbare-wald-kaerger.md</w:t>
      </w:r>
      <w:r>
        <w:t xml:space="preserve">) im Ordner</w:t>
      </w:r>
      <w:r>
        <w:t xml:space="preserve"> </w:t>
      </w:r>
      <w:r>
        <w:rPr>
          <w:rStyle w:val="VerbatimChar"/>
        </w:rPr>
        <w:t xml:space="preserve">bear-story</w:t>
      </w:r>
      <w:r>
        <w:t xml:space="preserve">. Reine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-Operationen, Result-Compression korrekt inaktiv (Edit/Write ist hard ausgeschlossen).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Interaktive HTML-Seite</w:t>
      </w:r>
      <w:r>
        <w:t xml:space="preserve"> </w:t>
      </w:r>
      <w:r>
        <w:t xml:space="preserve">— Sonnensystem mit Tag/Nacht-Animation (</w:t>
      </w:r>
      <w:r>
        <w:rPr>
          <w:rStyle w:val="VerbatimChar"/>
        </w:rPr>
        <w:t xml:space="preserve">sonnensystem-erd-animation.html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sonnensystem-v2.html</w:t>
      </w:r>
      <w:r>
        <w:t xml:space="preserve"> </w:t>
      </w:r>
      <w:r>
        <w:t xml:space="preserve">mit Mond-Erweiterung). 8-10 Tool-Calls, dominiert durch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/</w:t>
      </w:r>
      <w:r>
        <w:rPr>
          <w:rStyle w:val="VerbatimChar"/>
        </w:rPr>
        <w:t xml:space="preserve">edit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Datei-Inventar-Test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find ~/pi-extensions/pi-tscg/node_modules -type f \( -name "*.js" -o -name "*.mjs" -o -name "*.cjs" -o -name "*.ts" \)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wc -l</w:t>
      </w:r>
      <w:r>
        <w:t xml:space="preserve">. Ergebnis:</w:t>
      </w:r>
      <w:r>
        <w:t xml:space="preserve"> </w:t>
      </w:r>
      <w:r>
        <w:rPr>
          <w:b/>
          <w:bCs/>
        </w:rPr>
        <w:t xml:space="preserve">11 356 Dateien</w:t>
      </w:r>
      <w:r>
        <w:t xml:space="preserve">. Der erste</w:t>
      </w:r>
      <w:r>
        <w:t xml:space="preserve"> </w:t>
      </w:r>
      <w:r>
        <w:rPr>
          <w:rStyle w:val="VerbatimChar"/>
        </w:rPr>
        <w:t xml:space="preserve">find</w:t>
      </w:r>
      <w:r>
        <w:t xml:space="preserve">-Call lieferte einen Output deutlich über 4 000 Tokens — exakt der Fall, für den Hebel 2 designed ist. Truncation-Marker</w:t>
      </w:r>
      <w:r>
        <w:t xml:space="preserve"> </w:t>
      </w:r>
      <w:r>
        <w:rPr>
          <w:rStyle w:val="VerbatimChar"/>
        </w:rPr>
        <w:t xml:space="preserve">[TSCG: N Zeilen / ~Xk Tokens ausgelassen — head + tail behalten]</w:t>
      </w:r>
      <w:r>
        <w:t xml:space="preserve"> </w:t>
      </w:r>
      <w:r>
        <w:t xml:space="preserve">wurde im Tool-Output sichtbar gesetzt, das Modell hat die anschließende</w:t>
      </w:r>
      <w:r>
        <w:t xml:space="preserve"> </w:t>
      </w:r>
      <w:r>
        <w:rPr>
          <w:rStyle w:val="VerbatimChar"/>
        </w:rPr>
        <w:t xml:space="preserve">wc -l</w:t>
      </w:r>
      <w:r>
        <w:t xml:space="preserve">-Folgeaktion korrekt durchgeführt.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Bericht-Erstellung</w:t>
      </w:r>
      <w:r>
        <w:t xml:space="preserve"> </w:t>
      </w:r>
      <w:r>
        <w:t xml:space="preserve">— Pi hat eigenständig eine</w:t>
      </w:r>
      <w:r>
        <w:t xml:space="preserve"> </w:t>
      </w:r>
      <w:r>
        <w:rPr>
          <w:rStyle w:val="VerbatimChar"/>
        </w:rPr>
        <w:t xml:space="preserve">js-ts-dateien-bericht.md</w:t>
      </w:r>
      <w:r>
        <w:t xml:space="preserve"> </w:t>
      </w:r>
      <w:r>
        <w:t xml:space="preserve">plus eine als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benannte Textversion (kein echtes PDF mangels Konverter) erzeugt. Erneut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-dominiert.</w:t>
      </w:r>
    </w:p>
    <w:bookmarkEnd w:id="31"/>
    <w:bookmarkStart w:id="32" w:name="profil-wechsel"/>
    <w:p>
      <w:pPr>
        <w:pStyle w:val="Heading3"/>
      </w:pPr>
      <w:r>
        <w:t xml:space="preserve">Profil-Wechsel</w:t>
      </w:r>
    </w:p>
    <w:p>
      <w:pPr>
        <w:pStyle w:val="FirstParagraph"/>
      </w:pPr>
      <w:r>
        <w:t xml:space="preserve">Während der Session von</w:t>
      </w:r>
      <w:r>
        <w:t xml:space="preserve"> </w:t>
      </w:r>
      <w:r>
        <w:rPr>
          <w:rStyle w:val="VerbatimChar"/>
        </w:rPr>
        <w:t xml:space="preserve">balanced</w:t>
      </w:r>
      <w:r>
        <w:t xml:space="preserve"> </w:t>
      </w:r>
      <w:r>
        <w:t xml:space="preserve">auf</w:t>
      </w:r>
      <w:r>
        <w:t xml:space="preserve"> </w:t>
      </w:r>
      <w:r>
        <w:rPr>
          <w:rStyle w:val="VerbatimChar"/>
        </w:rPr>
        <w:t xml:space="preserve">aggressive</w:t>
      </w:r>
      <w:r>
        <w:t xml:space="preserve"> </w:t>
      </w:r>
      <w:r>
        <w:t xml:space="preserve">umgeschaltet (</w:t>
      </w:r>
      <w:r>
        <w:rPr>
          <w:rStyle w:val="VerbatimChar"/>
        </w:rPr>
        <w:t xml:space="preserve">/tscg profile aggressive</w:t>
      </w:r>
      <w:r>
        <w:t xml:space="preserve">). Der zusätzliche Effekt von</w:t>
      </w:r>
      <w:r>
        <w:t xml:space="preserve"> </w:t>
      </w:r>
      <w:r>
        <w:rPr>
          <w:rStyle w:val="VerbatimChar"/>
        </w:rPr>
        <w:t xml:space="preserve">aggressiveMaxDescChars=200</w:t>
      </w:r>
      <w:r>
        <w:t xml:space="preserve"> </w:t>
      </w:r>
      <w:r>
        <w:t xml:space="preserve">ist auf Pi-Built-ins gering, weil deren Top-Level-Descriptions alle unter 250 chars liegen.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2711161bedeee61a7950bebe6b4e78d42c52c38"/>
    <w:p>
      <w:pPr>
        <w:pStyle w:val="Heading2"/>
      </w:pPr>
      <w:r>
        <w:t xml:space="preserve">7. Strukturelle Beobachtung — Description-Only-Cap auf Pi-Built-Tools</w:t>
      </w:r>
    </w:p>
    <w:p>
      <w:pPr>
        <w:pStyle w:val="FirstParagraph"/>
      </w:pPr>
      <w:r>
        <w:t xml:space="preserve">Die 8.3 %-Konstanz auf Pi’s Built-in-Tools verdient eine eigene Erklärung, weil das für TSCG-Adoption auf vielen Coding-Agents relevant sein wird.</w:t>
      </w:r>
    </w:p>
    <w:bookmarkStart w:id="34" w:name="X5017fa3abf868a32671a2023d98ae667f9714e5"/>
    <w:p>
      <w:pPr>
        <w:pStyle w:val="Heading3"/>
      </w:pPr>
      <w:r>
        <w:t xml:space="preserve">Pi’s Tool-Schemas sind bereits maximal kompakt</w:t>
      </w:r>
    </w:p>
    <w:p>
      <w:pPr>
        <w:pStyle w:val="FirstParagraph"/>
      </w:pPr>
      <w:r>
        <w:t xml:space="preserve">Beispiel (aus</w:t>
      </w:r>
      <w:r>
        <w:t xml:space="preserve"> </w:t>
      </w:r>
      <w:r>
        <w:rPr>
          <w:rStyle w:val="VerbatimChar"/>
        </w:rPr>
        <w:t xml:space="preserve">dist/core/tools/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bash.js</w:t>
      </w:r>
      <w:r>
        <w:br/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 command to execute"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24 chars, 0 Filler</w:t>
      </w:r>
      <w:r>
        <w:br/>
      </w:r>
      <w:r>
        <w:rPr>
          <w:rStyle w:val="Normal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"Timeout in seconds (optional, no default timeout)"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47 chars, sehr knapp</w:t>
      </w:r>
      <w:r>
        <w:br/>
      </w:r>
      <w:r>
        <w:br/>
      </w:r>
      <w:r>
        <w:rPr>
          <w:rStyle w:val="CommentTok"/>
        </w:rPr>
        <w:t xml:space="preserve">// grep.js</w:t>
      </w:r>
      <w:r>
        <w:br/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 pattern (regex or literal string)"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CommentTok"/>
        </w:rPr>
        <w:t xml:space="preserve">// 39 chars, kein DRO-Material</w:t>
      </w:r>
    </w:p>
    <w:p>
      <w:pPr>
        <w:pStyle w:val="FirstParagraph"/>
      </w:pPr>
      <w:r>
        <w:t xml:space="preserve">Auf solchen Strings haben</w:t>
      </w:r>
      <w:r>
        <w:t xml:space="preserve"> </w:t>
      </w:r>
      <w:r>
        <w:rPr>
          <w:b/>
          <w:bCs/>
        </w:rPr>
        <w:t xml:space="preserve">SDM</w:t>
      </w:r>
      <w:r>
        <w:t xml:space="preserve"> </w:t>
      </w:r>
      <w:r>
        <w:t xml:space="preserve">(Filler-Pattern),</w:t>
      </w:r>
      <w:r>
        <w:t xml:space="preserve"> </w:t>
      </w:r>
      <w:r>
        <w:rPr>
          <w:b/>
          <w:bCs/>
        </w:rPr>
        <w:t xml:space="preserve">DRO</w:t>
      </w:r>
      <w:r>
        <w:t xml:space="preserve"> </w:t>
      </w:r>
      <w:r>
        <w:t xml:space="preserve">(Verbose-Phrase → Symbol) und</w:t>
      </w:r>
      <w:r>
        <w:t xml:space="preserve"> </w:t>
      </w:r>
      <w:r>
        <w:rPr>
          <w:b/>
          <w:bCs/>
        </w:rPr>
        <w:t xml:space="preserve">CCP</w:t>
      </w:r>
      <w:r>
        <w:t xml:space="preserve"> </w:t>
      </w:r>
      <w:r>
        <w:t xml:space="preserve">(Closure-Append) wenig Hebel. Nur die langen Top-Level-Tool-Descriptions (typisch 200-400 chars) bieten Substanz — aber das sind 7 Strings auf insgesamt ~6 000 Schema-Tokens.</w:t>
      </w:r>
    </w:p>
    <w:bookmarkEnd w:id="34"/>
    <w:bookmarkStart w:id="35" w:name="X1672317832fd2bbb92bc751518d1f160e9c6d0b"/>
    <w:p>
      <w:pPr>
        <w:pStyle w:val="Heading3"/>
      </w:pPr>
      <w:r>
        <w:t xml:space="preserve">Was das für</w:t>
      </w:r>
      <w:r>
        <w:t xml:space="preserve"> </w:t>
      </w:r>
      <w:r>
        <w:rPr>
          <w:rStyle w:val="VerbatimChar"/>
        </w:rPr>
        <w:t xml:space="preserve">@tscg/core</w:t>
      </w:r>
      <w:r>
        <w:t xml:space="preserve"> </w:t>
      </w:r>
      <w:r>
        <w:t xml:space="preserve">als Erkenntnis hergibt</w:t>
      </w:r>
    </w:p>
    <w:p>
      <w:pPr>
        <w:pStyle w:val="FirstParagraph"/>
      </w:pPr>
      <w:r>
        <w:t xml:space="preserve">Description-Only-Mode hat strukturell zwei verschiedene Use-Cases mit sehr unterschiedlichem Yield: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High-yield:</w:t>
      </w:r>
      <w:r>
        <w:t xml:space="preserve"> </w:t>
      </w:r>
      <w:r>
        <w:t xml:space="preserve">MCP-Server-Tools (Notion, Figma, Supabase…) mit verbosen, mehrzeiligen Descriptions, Examples, Constraints → 30-50 % messbar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Low-yield:</w:t>
      </w:r>
      <w:r>
        <w:t xml:space="preserve"> </w:t>
      </w:r>
      <w:r>
        <w:t xml:space="preserve">kompakte Built-in-Tools eines Coding-Agents (Pi, ähnlich vermutlich Aider/Continue) → 8-15 % strukturell maximal</w:t>
      </w:r>
    </w:p>
    <w:p>
      <w:pPr>
        <w:pStyle w:val="FirstParagraph"/>
      </w:pPr>
      <w:r>
        <w:rPr>
          <w:b/>
          <w:bCs/>
        </w:rPr>
        <w:t xml:space="preserve">Vorschlag:</w:t>
      </w:r>
      <w:r>
        <w:t xml:space="preserve"> </w:t>
      </w:r>
      <w:r>
        <w:t xml:space="preserve">könnte sich als Hinweis im README oder als Logger-Output (</w:t>
      </w:r>
      <w:r>
        <w:rPr>
          <w:rStyle w:val="VerbatimChar"/>
        </w:rPr>
        <w:t xml:space="preserve">appliedPrinciples</w:t>
      </w:r>
      <w:r>
        <w:t xml:space="preserve"> </w:t>
      </w:r>
      <w:r>
        <w:t xml:space="preserve">enthält schon die Info) lohnen — Anwender könnten sonst denken, TSCG wäre wirkungslos, dabei haben sie nur den Worst-Case-Input-Set erwischt.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roadmap-und-vision"/>
    <w:p>
      <w:pPr>
        <w:pStyle w:val="Heading2"/>
      </w:pPr>
      <w:r>
        <w:t xml:space="preserve">8. Roadmap und Vision</w:t>
      </w:r>
    </w:p>
    <w:bookmarkStart w:id="37" w:name="Xf9be2f5fabc878a18ce395e5ae641846054559c"/>
    <w:p>
      <w:pPr>
        <w:pStyle w:val="Heading3"/>
      </w:pPr>
      <w:r>
        <w:t xml:space="preserve">8.1 Kurzfristig — npm-Veröffentlichung als</w:t>
      </w:r>
      <w:r>
        <w:t xml:space="preserve"> </w:t>
      </w:r>
      <w:r>
        <w:rPr>
          <w:rStyle w:val="VerbatimChar"/>
        </w:rPr>
        <w:t xml:space="preserve">pi-tscg</w:t>
      </w:r>
    </w:p>
    <w:p>
      <w:pPr>
        <w:pStyle w:val="FirstParagraph"/>
      </w:pPr>
      <w:r>
        <w:t xml:space="preserve">Aktuell läuft die Extension lokal aus</w:t>
      </w:r>
      <w:r>
        <w:t xml:space="preserve"> </w:t>
      </w:r>
      <w:r>
        <w:rPr>
          <w:rStyle w:val="VerbatimChar"/>
        </w:rPr>
        <w:t xml:space="preserve">~/pi-extensions/pi-tscg/</w:t>
      </w:r>
      <w:r>
        <w:t xml:space="preserve">. Geplant ist die Publikation auf npm, sodass jeder Pi-Nutzer mit einem Befehl</w:t>
      </w:r>
    </w:p>
    <w:p>
      <w:pPr>
        <w:pStyle w:val="SourceCode"/>
      </w:pPr>
      <w:r>
        <w:rPr>
          <w:rStyle w:val="ExtensionTok"/>
        </w:rPr>
        <w:t xml:space="preserve">pi</w:t>
      </w:r>
      <w:r>
        <w:rPr>
          <w:rStyle w:val="NormalTok"/>
        </w:rPr>
        <w:t xml:space="preserve"> install pi-tscg</w:t>
      </w:r>
    </w:p>
    <w:p>
      <w:pPr>
        <w:pStyle w:val="FirstParagraph"/>
      </w:pPr>
      <w:r>
        <w:rPr>
          <w:b/>
          <w:bCs/>
        </w:rPr>
        <w:t xml:space="preserve">alle drei Hebel direkt aktivieren</w:t>
      </w:r>
      <w:r>
        <w:t xml:space="preserve"> </w:t>
      </w:r>
      <w:r>
        <w:t xml:space="preserve">kann — ohne Manual Setup, ohne</w:t>
      </w:r>
      <w:r>
        <w:t xml:space="preserve"> </w:t>
      </w:r>
      <w:r>
        <w:rPr>
          <w:rStyle w:val="VerbatimChar"/>
        </w:rPr>
        <w:t xml:space="preserve">tar -xzf</w:t>
      </w:r>
      <w:r>
        <w:t xml:space="preserve">, ohne</w:t>
      </w:r>
      <w:r>
        <w:t xml:space="preserve"> </w:t>
      </w:r>
      <w:r>
        <w:rPr>
          <w:rStyle w:val="VerbatimChar"/>
        </w:rPr>
        <w:t xml:space="preserve">pi install &lt;localpath&gt;</w:t>
      </w:r>
      <w:r>
        <w:t xml:space="preserve">. Anthropic-Cache greift ab Call 1, Schema-Compression läuft, Result-Compression läuft.</w:t>
      </w:r>
    </w:p>
    <w:p>
      <w:pPr>
        <w:pStyle w:val="BodyText"/>
      </w:pPr>
      <w:r>
        <w:t xml:space="preserve">Vorbereitung dafür: peerDependencies auf</w:t>
      </w:r>
      <w:r>
        <w:t xml:space="preserve"> </w:t>
      </w:r>
      <w:r>
        <w:rPr>
          <w:rStyle w:val="VerbatimChar"/>
        </w:rPr>
        <w:t xml:space="preserve">@mariozechner/pi-coding-agent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@tscg/core</w:t>
      </w:r>
      <w:r>
        <w:t xml:space="preserve"> </w:t>
      </w:r>
      <w:r>
        <w:t xml:space="preserve">deklariert, Build-Pipeline minimal (Pi lädt</w:t>
      </w:r>
      <w:r>
        <w:t xml:space="preserve"> </w:t>
      </w:r>
      <w:r>
        <w:rPr>
          <w:rStyle w:val="VerbatimChar"/>
        </w:rPr>
        <w:t xml:space="preserve">.ts</w:t>
      </w:r>
      <w:r>
        <w:t xml:space="preserve">-Extensions direkt via Node-TS-Loader).</w:t>
      </w:r>
    </w:p>
    <w:bookmarkEnd w:id="37"/>
    <w:bookmarkStart w:id="38" w:name="X7b645c79211399d6cd603e65e168722ed31aa93"/>
    <w:p>
      <w:pPr>
        <w:pStyle w:val="Heading3"/>
      </w:pPr>
      <w:r>
        <w:t xml:space="preserve">8.2 Mittelfristig — Pi-Plugin-Verzeichnis-Eintrag</w:t>
      </w:r>
    </w:p>
    <w:p>
      <w:pPr>
        <w:pStyle w:val="FirstParagraph"/>
      </w:pPr>
      <w:r>
        <w:t xml:space="preserve">Pi pflegt eine kuratierte Liste registrierter Extensions (</w:t>
      </w:r>
      <w:r>
        <w:rPr>
          <w:rStyle w:val="VerbatimChar"/>
        </w:rPr>
        <w:t xml:space="preserve">@ollama/pi-web-search</w:t>
      </w:r>
      <w:r>
        <w:t xml:space="preserve"> </w:t>
      </w:r>
      <w:r>
        <w:t xml:space="preserve">ist im Default-Setup z.B. schon drin). Sobald</w:t>
      </w:r>
      <w:r>
        <w:t xml:space="preserve"> </w:t>
      </w:r>
      <w:r>
        <w:rPr>
          <w:rStyle w:val="VerbatimChar"/>
        </w:rPr>
        <w:t xml:space="preserve">pi-tscg</w:t>
      </w:r>
      <w:r>
        <w:t xml:space="preserve"> </w:t>
      </w:r>
      <w:r>
        <w:t xml:space="preserve">auf npm liegt, kann es ins Pi-Plugin-Verzeichnis aufgenommen werden — dann sehen Nutzer die Extension direkt im Pi-Setup-Flow als optionalen Switch („Compression: ON”).</w:t>
      </w:r>
    </w:p>
    <w:p>
      <w:pPr>
        <w:pStyle w:val="BodyText"/>
      </w:pPr>
      <w:r>
        <w:t xml:space="preserve">Das wäre für</w:t>
      </w:r>
      <w:r>
        <w:t xml:space="preserve"> </w:t>
      </w:r>
      <w:r>
        <w:rPr>
          <w:rStyle w:val="VerbatimChar"/>
        </w:rPr>
        <w:t xml:space="preserve">@tscg/core</w:t>
      </w:r>
      <w:r>
        <w:t xml:space="preserve"> </w:t>
      </w:r>
      <w:r>
        <w:t xml:space="preserve">ein sehr direkter Distribution-Channel: jeder Pi-Nutzer hat</w:t>
      </w:r>
      <w:r>
        <w:t xml:space="preserve"> </w:t>
      </w:r>
      <w:r>
        <w:rPr>
          <w:b/>
          <w:bCs/>
        </w:rPr>
        <w:t xml:space="preserve">Ein-Klick-Zugriff</w:t>
      </w:r>
      <w:r>
        <w:t xml:space="preserve"> </w:t>
      </w:r>
      <w:r>
        <w:t xml:space="preserve">auf TSCG, und über die Pi-Extension werden die Core-API-Aufrufe transparent gemacht. Adoption-Multiplier ohne dass Pi den TSCG-Code im eigenen Tree haben muss.</w:t>
      </w:r>
    </w:p>
    <w:bookmarkEnd w:id="38"/>
    <w:bookmarkStart w:id="39" w:name="langfristig-optionen-zum-ausweiten"/>
    <w:p>
      <w:pPr>
        <w:pStyle w:val="Heading3"/>
      </w:pPr>
      <w:r>
        <w:t xml:space="preserve">8.3 Langfristig — Optionen zum Ausweiten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782"/>
        <w:gridCol w:w="1782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Idee</w:t>
            </w:r>
          </w:p>
        </w:tc>
        <w:tc>
          <w:tcPr/>
          <w:p>
            <w:pPr>
              <w:pStyle w:val="Compact"/>
            </w:pPr>
            <w:r>
              <w:t xml:space="preserve">Wirkung</w:t>
            </w:r>
          </w:p>
        </w:tc>
        <w:tc>
          <w:tcPr/>
          <w:p>
            <w:pPr>
              <w:pStyle w:val="Compact"/>
            </w:pPr>
            <w:r>
              <w:t xml:space="preserve">Aufwand</w:t>
            </w:r>
          </w:p>
        </w:tc>
        <w:tc>
          <w:tcPr/>
          <w:p>
            <w:pPr>
              <w:pStyle w:val="Compact"/>
            </w:pPr>
            <w:r>
              <w:t xml:space="preserve">Risiko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Strategie A:</w:t>
            </w:r>
            <w:r>
              <w:t xml:space="preserve"> </w:t>
            </w:r>
            <w:r>
              <w:t xml:space="preserve">JSON-Schema-Pruning (</w:t>
            </w:r>
            <w:r>
              <w:rPr>
                <w:rStyle w:val="VerbatimChar"/>
              </w:rPr>
              <w:t xml:space="preserve">$schema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$comment</w:t>
            </w:r>
            <w:r>
              <w:t xml:space="preserve">, leere</w:t>
            </w:r>
            <w:r>
              <w:t xml:space="preserve"> </w:t>
            </w:r>
            <w:r>
              <w:rPr>
                <w:rStyle w:val="VerbatimChar"/>
              </w:rPr>
              <w:t xml:space="preserve">examples</w:t>
            </w:r>
            <w:r>
              <w:t xml:space="preserve">/</w:t>
            </w:r>
            <w:r>
              <w:rPr>
                <w:rStyle w:val="VerbatimChar"/>
              </w:rPr>
              <w:t xml:space="preserve">enum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default: undefined</w:t>
            </w:r>
            <w:r>
              <w:t xml:space="preserve"> </w:t>
            </w:r>
            <w:r>
              <w:t xml:space="preserve">droppen —</w:t>
            </w:r>
            <w:r>
              <w:t xml:space="preserve"> </w:t>
            </w:r>
            <w:r>
              <w:rPr>
                <w:rStyle w:val="VerbatimChar"/>
              </w:rPr>
              <w:t xml:space="preserve">additionalProperties</w:t>
            </w:r>
            <w:r>
              <w:t xml:space="preserve"> </w:t>
            </w:r>
            <w:r>
              <w:t xml:space="preserve">und</w:t>
            </w:r>
            <w:r>
              <w:t xml:space="preserve"> </w:t>
            </w:r>
            <w:r>
              <w:rPr>
                <w:rStyle w:val="VerbatimChar"/>
              </w:rPr>
              <w:t xml:space="preserve">$ref</w:t>
            </w:r>
            <w:r>
              <w:t xml:space="preserve"> </w:t>
            </w:r>
            <w:r>
              <w:t xml:space="preserve">bewusst behalten, weil semantisch)</w:t>
            </w:r>
          </w:p>
        </w:tc>
        <w:tc>
          <w:tcPr/>
          <w:p>
            <w:pPr>
              <w:pStyle w:val="Compact"/>
            </w:pPr>
            <w:r>
              <w:t xml:space="preserve">+5-15 % auf Hebel 1 (Pi-Built-ins) bis +25-35 % (MCP-Tools mit Schema-Boilerplate)</w:t>
            </w:r>
          </w:p>
        </w:tc>
        <w:tc>
          <w:tcPr/>
          <w:p>
            <w:pPr>
              <w:pStyle w:val="Compact"/>
            </w:pPr>
            <w:r>
              <w:t xml:space="preserve">gering</w:t>
            </w:r>
          </w:p>
        </w:tc>
        <w:tc>
          <w:tcPr/>
          <w:p>
            <w:pPr>
              <w:pStyle w:val="Compact"/>
            </w:pPr>
            <w:r>
              <w:t xml:space="preserve">sehr niedrig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implementiert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Strategie C:</w:t>
            </w:r>
            <w:r>
              <w:t xml:space="preserve"> </w:t>
            </w:r>
            <w:r>
              <w:t xml:space="preserve">Full-TSCG mit Reverse-Map im</w:t>
            </w:r>
            <w:r>
              <w:t xml:space="preserve"> </w:t>
            </w:r>
            <w:r>
              <w:rPr>
                <w:rStyle w:val="VerbatimChar"/>
              </w:rPr>
              <w:t xml:space="preserve">tool_call</w:t>
            </w:r>
            <w:r>
              <w:t xml:space="preserve"> </w:t>
            </w:r>
            <w:r>
              <w:t xml:space="preserve">Hook (Symbol-Aliasing rückübersetzen)</w:t>
            </w:r>
          </w:p>
        </w:tc>
        <w:tc>
          <w:tcPr/>
          <w:p>
            <w:pPr>
              <w:pStyle w:val="Compact"/>
            </w:pPr>
            <w:r>
              <w:t xml:space="preserve">+50-65 % auf Hebel 1</w:t>
            </w:r>
          </w:p>
        </w:tc>
        <w:tc>
          <w:tcPr/>
          <w:p>
            <w:pPr>
              <w:pStyle w:val="Compact"/>
            </w:pPr>
            <w:r>
              <w:t xml:space="preserve">hoch</w:t>
            </w:r>
          </w:p>
        </w:tc>
        <w:tc>
          <w:tcPr/>
          <w:p>
            <w:pPr>
              <w:pStyle w:val="Compact"/>
            </w:pPr>
            <w:r>
              <w:t xml:space="preserve">mittel — Edge-Cases mit parallelen Tool-Calls</w:t>
            </w:r>
          </w:p>
        </w:tc>
        <w:tc>
          <w:tcPr/>
          <w:p>
            <w:pPr>
              <w:pStyle w:val="Compac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MCP-Auto-Erkennung:</w:t>
            </w:r>
            <w:r>
              <w:t xml:space="preserve"> </w:t>
            </w:r>
            <w:r>
              <w:t xml:space="preserve">wenn registrierte MCP-Server da sind, Profil automatisch auf</w:t>
            </w:r>
            <w:r>
              <w:t xml:space="preserve"> </w:t>
            </w:r>
            <w:r>
              <w:rPr>
                <w:rStyle w:val="VerbatimChar"/>
              </w:rPr>
              <w:t xml:space="preserve">balanced</w:t>
            </w:r>
            <w:r>
              <w:t xml:space="preserve"> </w:t>
            </w:r>
            <w:r>
              <w:t xml:space="preserve">für deren Tools (high-yield) und</w:t>
            </w:r>
            <w:r>
              <w:t xml:space="preserve"> </w:t>
            </w:r>
            <w:r>
              <w:rPr>
                <w:rStyle w:val="VerbatimChar"/>
              </w:rPr>
              <w:t xml:space="preserve">light</w:t>
            </w:r>
            <w:r>
              <w:t xml:space="preserve"> </w:t>
            </w:r>
            <w:r>
              <w:t xml:space="preserve">für Pi-Built-ins (low-yield)</w:t>
            </w:r>
          </w:p>
        </w:tc>
        <w:tc>
          <w:tcPr/>
          <w:p>
            <w:pPr>
              <w:pStyle w:val="Compact"/>
            </w:pPr>
            <w:r>
              <w:t xml:space="preserve">besseres User-Erlebnis</w:t>
            </w:r>
          </w:p>
        </w:tc>
        <w:tc>
          <w:tcPr/>
          <w:p>
            <w:pPr>
              <w:pStyle w:val="Compact"/>
            </w:pPr>
            <w:r>
              <w:t xml:space="preserve">mittel</w:t>
            </w:r>
          </w:p>
        </w:tc>
        <w:tc>
          <w:tcPr/>
          <w:p>
            <w:pPr>
              <w:pStyle w:val="Compact"/>
            </w:pPr>
            <w:r>
              <w:t xml:space="preserve">niedrig</w:t>
            </w:r>
          </w:p>
        </w:tc>
        <w:tc>
          <w:tcPr/>
          <w:p>
            <w:pPr>
              <w:pStyle w:val="Compac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Cache-Hit-Logging</w:t>
            </w:r>
            <w:r>
              <w:t xml:space="preserve"> </w:t>
            </w:r>
            <w:r>
              <w:t xml:space="preserve">für Hebel 3 via</w:t>
            </w:r>
            <w:r>
              <w:t xml:space="preserve"> </w:t>
            </w:r>
            <w:r>
              <w:rPr>
                <w:rStyle w:val="VerbatimChar"/>
              </w:rPr>
              <w:t xml:space="preserve">after_provider_response</w:t>
            </w:r>
            <w:r>
              <w:t xml:space="preserve"> </w:t>
            </w:r>
            <w:r>
              <w:t xml:space="preserve">Hook (Anthropic-</w:t>
            </w:r>
            <w:r>
              <w:rPr>
                <w:rStyle w:val="VerbatimChar"/>
              </w:rPr>
              <w:t xml:space="preserve">usage</w:t>
            </w:r>
            <w:r>
              <w:t xml:space="preserve">-Felder auswerten, OpenAI-</w:t>
            </w:r>
            <w:r>
              <w:rPr>
                <w:rStyle w:val="VerbatimChar"/>
              </w:rPr>
              <w:t xml:space="preserve">cached_tokens</w:t>
            </w:r>
            <w:r>
              <w:t xml:space="preserve"> </w:t>
            </w:r>
            <w:r>
              <w:t xml:space="preserve">ebenso)</w:t>
            </w:r>
          </w:p>
        </w:tc>
        <w:tc>
          <w:tcPr/>
          <w:p>
            <w:pPr>
              <w:pStyle w:val="Compact"/>
            </w:pPr>
            <w:r>
              <w:t xml:space="preserve">Telemetrie/Debugging</w:t>
            </w:r>
          </w:p>
        </w:tc>
        <w:tc>
          <w:tcPr/>
          <w:p>
            <w:pPr>
              <w:pStyle w:val="Compact"/>
            </w:pPr>
            <w:r>
              <w:t xml:space="preserve">gering</w:t>
            </w:r>
          </w:p>
        </w:tc>
        <w:tc>
          <w:tcPr/>
          <w:p>
            <w:pPr>
              <w:pStyle w:val="Compact"/>
            </w:pPr>
            <w:r>
              <w:t xml:space="preserve">keins</w:t>
            </w:r>
          </w:p>
        </w:tc>
        <w:tc>
          <w:tcPr/>
          <w:p>
            <w:pPr>
              <w:pStyle w:val="Compact"/>
            </w:pPr>
            <w:r>
              <w:t xml:space="preserve">offen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Gemini-Provider-Support für Hebel 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cachedContents</w:t>
            </w:r>
            <w:r>
              <w:t xml:space="preserve">-API-Integration, siehe §5.2.4)</w:t>
            </w:r>
          </w:p>
        </w:tc>
        <w:tc>
          <w:tcPr/>
          <w:p>
            <w:pPr>
              <w:pStyle w:val="Compact"/>
            </w:pPr>
            <w:r>
              <w:t xml:space="preserve">nutzt Hebel 3 auch für Gemini-Nutzer</w:t>
            </w:r>
          </w:p>
        </w:tc>
        <w:tc>
          <w:tcPr/>
          <w:p>
            <w:pPr>
              <w:pStyle w:val="Compact"/>
            </w:pPr>
            <w:r>
              <w:t xml:space="preserve">mittel — neue API-Integration</w:t>
            </w:r>
          </w:p>
        </w:tc>
        <w:tc>
          <w:tcPr/>
          <w:p>
            <w:pPr>
              <w:pStyle w:val="Compact"/>
            </w:pPr>
            <w:r>
              <w:t xml:space="preserve">niedrig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Skeleton im Code, PR-ready</w:t>
            </w:r>
          </w:p>
        </w:tc>
      </w:tr>
    </w:tbl>
    <w:bookmarkEnd w:id="39"/>
    <w:bookmarkStart w:id="40" w:name="was-tscgcore-davon-haben-könnte"/>
    <w:p>
      <w:pPr>
        <w:pStyle w:val="Heading3"/>
      </w:pPr>
      <w:r>
        <w:t xml:space="preserve">8.4 Was</w:t>
      </w:r>
      <w:r>
        <w:t xml:space="preserve"> </w:t>
      </w:r>
      <w:r>
        <w:rPr>
          <w:rStyle w:val="VerbatimChar"/>
        </w:rPr>
        <w:t xml:space="preserve">@tscg/core</w:t>
      </w:r>
      <w:r>
        <w:t xml:space="preserve"> </w:t>
      </w:r>
      <w:r>
        <w:t xml:space="preserve">davon haben könnte</w:t>
      </w:r>
    </w:p>
    <w:p>
      <w:pPr>
        <w:pStyle w:val="FirstParagraph"/>
      </w:pPr>
      <w:r>
        <w:t xml:space="preserve">Drei konkrete Anregungen aus dem Praxis-Lauf: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compressFreeText(text, opts)</w:t>
      </w:r>
      <w:r>
        <w:rPr>
          <w:b/>
          <w:bCs/>
        </w:rPr>
        <w:t xml:space="preserve"> </w:t>
      </w:r>
      <w:r>
        <w:rPr>
          <w:b/>
          <w:bCs/>
        </w:rPr>
        <w:t xml:space="preserve">Convenience-API</w:t>
      </w:r>
      <w:r>
        <w:t xml:space="preserve"> </w:t>
      </w:r>
      <w:r>
        <w:t xml:space="preserve">— Tool-Output-Compression als first-class Use-Case neben Tool-Schema-Compression. Dann fällt Hebel 2 in jede Pi/Aider/Continue-Integration nahezu trivial.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outputFormat: "compact"</w:t>
      </w:r>
      <w:r>
        <w:rPr>
          <w:b/>
          <w:bCs/>
        </w:rPr>
        <w:t xml:space="preserve"> </w:t>
      </w:r>
      <w:r>
        <w:rPr>
          <w:b/>
          <w:bCs/>
        </w:rPr>
        <w:t xml:space="preserve">mehr dokumentieren</w:t>
      </w:r>
      <w:r>
        <w:t xml:space="preserve"> </w:t>
      </w:r>
      <w:r>
        <w:t xml:space="preserve">— bin nicht sicher, was der echte Effekt davon im description-only Mode ist; ein Beispiel-Snippet im README würde helfen.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Ein offizielles Pi-Adapter-Snippet im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examples/</w:t>
      </w:r>
      <w:r>
        <w:rPr>
          <w:b/>
          <w:bCs/>
        </w:rPr>
        <w:t xml:space="preserve">-Ordner</w:t>
      </w:r>
      <w:r>
        <w:t xml:space="preserve"> </w:t>
      </w:r>
      <w:r>
        <w:t xml:space="preserve">— falls du Interesse hast, schick ich gerne PR mit</w:t>
      </w:r>
      <w:r>
        <w:t xml:space="preserve"> </w:t>
      </w:r>
      <w:r>
        <w:rPr>
          <w:rStyle w:val="VerbatimChar"/>
        </w:rPr>
        <w:t xml:space="preserve">mapPiModelId()</w:t>
      </w:r>
      <w:r>
        <w:t xml:space="preserve"> </w:t>
      </w:r>
      <w:r>
        <w:t xml:space="preserve">und der</w:t>
      </w:r>
      <w:r>
        <w:t xml:space="preserve"> </w:t>
      </w:r>
      <w:r>
        <w:rPr>
          <w:rStyle w:val="VerbatimChar"/>
        </w:rPr>
        <w:t xml:space="preserve">before_provider_request</w:t>
      </w:r>
      <w:r>
        <w:t xml:space="preserve">-Pipeline als Referenz für andere Tool-Schemas-Extensions.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zusammenfassung-in-einem-satz"/>
    <w:p>
      <w:pPr>
        <w:pStyle w:val="Heading2"/>
      </w:pPr>
      <w:r>
        <w:t xml:space="preserve">9. Zusammenfassung in einem Satz</w:t>
      </w:r>
    </w:p>
    <w:p>
      <w:pPr>
        <w:pStyle w:val="FirstParagraph"/>
      </w:pPr>
      <w:r>
        <w:t xml:space="preserve">Mit</w:t>
      </w:r>
      <w:r>
        <w:t xml:space="preserve"> </w:t>
      </w:r>
      <w:r>
        <w:rPr>
          <w:rStyle w:val="VerbatimChar"/>
        </w:rPr>
        <w:t xml:space="preserve">@tscg/core</w:t>
      </w:r>
      <w:r>
        <w:t xml:space="preserve"> </w:t>
      </w:r>
      <w:r>
        <w:t xml:space="preserve">als Compression-Engine und Pi’s Hook-System als Distribution-Vehikel gibt es einen pragmatischen Weg, TSCG</w:t>
      </w:r>
      <w:r>
        <w:t xml:space="preserve"> </w:t>
      </w:r>
      <w:r>
        <w:rPr>
          <w:b/>
          <w:bCs/>
        </w:rPr>
        <w:t xml:space="preserve">nicht als Library, sondern als On-Demand-Plugin</w:t>
      </w:r>
      <w:r>
        <w:t xml:space="preserve"> </w:t>
      </w:r>
      <w:r>
        <w:t xml:space="preserve">an Coding-Agent-Nutzer zu bringen — mit messbarem Effekt (14.6 K Tokens / Session bei einem 9B-Lokalmodell auf einem 7-Tools-Worst-Case-Set), klarem Skalierungspfad (MCP-Tools, Anthropic-Cache) und ohne dass der Agent selbst TSCG-Code mergen muss.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Repo-Status (Stand 28.04.2026):</w:t>
      </w:r>
      <w:r>
        <w:t xml:space="preserve"> </w:t>
      </w:r>
      <w:r>
        <w:t xml:space="preserve">- Lokal lauffähig, typgecheckt (</w:t>
      </w:r>
      <w:r>
        <w:rPr>
          <w:rStyle w:val="VerbatimChar"/>
        </w:rPr>
        <w:t xml:space="preserve">tsc --noEmit --strict</w:t>
      </w:r>
      <w:r>
        <w:t xml:space="preserve"> </w:t>
      </w:r>
      <w:r>
        <w:t xml:space="preserve">exit 0), live verifiziert auf Ollama+qwen3.5:9b</w:t>
      </w:r>
      <w:r>
        <w:t xml:space="preserve"> </w:t>
      </w:r>
      <w:r>
        <w:t xml:space="preserve">- npm-Paket gebaut:</w:t>
      </w:r>
      <w:r>
        <w:t xml:space="preserve"> </w:t>
      </w:r>
      <w:r>
        <w:rPr>
          <w:rStyle w:val="VerbatimChar"/>
        </w:rPr>
        <w:t xml:space="preserve">pi-tscg-0.2.0.tgz</w:t>
      </w:r>
      <w:r>
        <w:t xml:space="preserve"> </w:t>
      </w:r>
      <w:r>
        <w:t xml:space="preserve">(27.3 KB packed, 82.3 KB unpacked, 7 Dateien)</w:t>
      </w:r>
      <w:r>
        <w:t xml:space="preserve"> </w:t>
      </w:r>
      <w:r>
        <w:t xml:space="preserve">- Pre-Release-Code-Review durchlaufen — 3 Blocker identifiziert und gefixt (cache_control nur auf wirklich-Anthropic-formatierte Tools,</w:t>
      </w:r>
      <w:r>
        <w:t xml:space="preserve"> </w:t>
      </w:r>
      <w:r>
        <w:rPr>
          <w:rStyle w:val="VerbatimChar"/>
        </w:rPr>
        <w:t xml:space="preserve">$ref</w:t>
      </w:r>
      <w:r>
        <w:t xml:space="preserve"> </w:t>
      </w:r>
      <w:r>
        <w:t xml:space="preserve">aus Pruning-Liste entfernt weil load-bearing in MCP-Schemas, Tool-Exclusion auf case-insensitive normalisiert)</w:t>
      </w:r>
      <w:r>
        <w:t xml:space="preserve"> </w:t>
      </w:r>
      <w:r>
        <w:t xml:space="preserve">- Strategie A implementiert</w:t>
      </w:r>
      <w:r>
        <w:t xml:space="preserve"> </w:t>
      </w:r>
      <w:r>
        <w:t xml:space="preserve">- Veröffentlichungsweg:</w:t>
      </w:r>
      <w:r>
        <w:t xml:space="preserve"> </w:t>
      </w:r>
      <w:r>
        <w:rPr>
          <w:rStyle w:val="VerbatimChar"/>
        </w:rPr>
        <w:t xml:space="preserve">npm publish --access public</w:t>
      </w:r>
      <w:r>
        <w:t xml:space="preserve"> </w:t>
      </w:r>
      <w:r>
        <w:t xml:space="preserve">→ automatische Listung auf</w:t>
      </w:r>
      <w:r>
        <w:t xml:space="preserve"> </w:t>
      </w:r>
      <w:hyperlink r:id="rId42">
        <w:r>
          <w:rPr>
            <w:rStyle w:val="Hyperlink"/>
          </w:rPr>
          <w:t xml:space="preserve">pi.dev/packages</w:t>
        </w:r>
      </w:hyperlink>
      <w:r>
        <w:t xml:space="preserve"> </w:t>
      </w:r>
      <w:r>
        <w:t xml:space="preserve">durch</w:t>
      </w:r>
      <w:r>
        <w:t xml:space="preserve"> </w:t>
      </w:r>
      <w:r>
        <w:rPr>
          <w:rStyle w:val="VerbatimChar"/>
        </w:rPr>
        <w:t xml:space="preserve">pi-package</w:t>
      </w:r>
      <w:r>
        <w:t xml:space="preserve">-Keyword</w:t>
      </w:r>
    </w:p>
    <w:p>
      <w:pPr>
        <w:pStyle w:val="BodyText"/>
      </w:pPr>
      <w:r>
        <w:t xml:space="preserve">Als Nächstes für die Pi-Seite:</w:t>
      </w:r>
      <w:r>
        <w:t xml:space="preserve"> </w:t>
      </w:r>
      <w:r>
        <w:t xml:space="preserve">- Mario Zechner kontaktieren mit Verweis auf diese Doku, Bitte um Aufnahme ins offizielle Plugin-Verzeichnis</w:t>
      </w:r>
      <w:r>
        <w:t xml:space="preserve"> </w:t>
      </w:r>
      <w:r>
        <w:t xml:space="preserve">- Nutzer-Workflow nach Aufnahme:</w:t>
      </w:r>
      <w:r>
        <w:t xml:space="preserve"> </w:t>
      </w:r>
      <w:r>
        <w:rPr>
          <w:rStyle w:val="VerbatimChar"/>
        </w:rPr>
        <w:t xml:space="preserve">pi install pi-tscg</w:t>
      </w:r>
      <w:r>
        <w:t xml:space="preserve"> </w:t>
      </w:r>
      <w:r>
        <w:t xml:space="preserve">→ fertig, alle drei Hebel aktiv</w:t>
      </w:r>
    </w:p>
    <w:p>
      <w:pPr>
        <w:pStyle w:val="BodyText"/>
      </w:pPr>
      <w:r>
        <w:t xml:space="preserve">Wenn du Lust hast, die</w:t>
      </w:r>
      <w:r>
        <w:t xml:space="preserve"> </w:t>
      </w:r>
      <w:r>
        <w:rPr>
          <w:rStyle w:val="VerbatimChar"/>
        </w:rPr>
        <w:t xml:space="preserve">mapPiModelId</w:t>
      </w:r>
      <w:r>
        <w:t xml:space="preserve">-Map oder den</w:t>
      </w:r>
      <w:r>
        <w:t xml:space="preserve"> </w:t>
      </w:r>
      <w:r>
        <w:rPr>
          <w:rStyle w:val="VerbatimChar"/>
        </w:rPr>
        <w:t xml:space="preserve">compressFreeText</w:t>
      </w:r>
      <w:r>
        <w:t xml:space="preserve">-Vorschlag als PR im Core zu sehen — sag Bescheid, ich kann das vorbereiten.</w:t>
      </w:r>
    </w:p>
    <w:p>
      <w:pPr>
        <w:pStyle w:val="BodyText"/>
      </w:pPr>
      <w:r>
        <w:t xml:space="preserve">— Dominic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SKZL-AI/tscg" TargetMode="External" /><Relationship Type="http://schemas.openxmlformats.org/officeDocument/2006/relationships/hyperlink" Id="rId42" Target="https://pi.dev/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SKZL-AI/tscg" TargetMode="External" /><Relationship Type="http://schemas.openxmlformats.org/officeDocument/2006/relationships/hyperlink" Id="rId42" Target="https://pi.dev/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2026-04-28T11:21:49Z</dcterms:created>
  <dcterms:modified xsi:type="dcterms:W3CDTF">2026-04-28T11:21:49Z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