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Get It Right </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After reading the Get It Right chapter in the precourse work, I discovered that Finding the Squad to be most challenging keys to success. Although I love to pair program and help others, I'm often reluctant and fearful of sharing my own.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To overcome this challenge, I will take, lack of personal knowledge and bugs in my code, as good indicators of what I need to work on next. Also, I’ll remind myself to be grateful for being around other students that share the same programming goals. Lastly, I'll work very hard but remember to enjoy an opportunity for learning in a highly collaborative environment at the University of Denver.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contextualSpacing w:val="0"/>
      <w:rPr/>
    </w:pPr>
    <w:r w:rsidDel="00000000" w:rsidR="00000000" w:rsidRPr="00000000">
      <w:rPr>
        <w:rtl w:val="0"/>
      </w:rPr>
      <w:t xml:space="preserve">Nikolas Tsoukas </w:t>
    </w:r>
  </w:p>
  <w:p w:rsidR="00000000" w:rsidDel="00000000" w:rsidP="00000000" w:rsidRDefault="00000000" w:rsidRPr="00000000" w14:paraId="00000008">
    <w:pPr>
      <w:contextualSpacing w:val="0"/>
      <w:rPr/>
    </w:pPr>
    <w:r w:rsidDel="00000000" w:rsidR="00000000" w:rsidRPr="00000000">
      <w:rPr>
        <w:rtl w:val="0"/>
      </w:rPr>
      <w:t xml:space="preserve">Module_3 Assignment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