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25 — Data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construct and interpret data displays.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collect categorical and numerical data through surveys and observation and tabulate it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side-by-side column graphs for 2 categories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integers on a timeline and draw accurate timelines using an appropriate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line graphs using the scales on the axes and describe data presented in line graphs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which types of data displays are appropriate to represent different types of data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an appropriate scale to represent data and use many-to-one scales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sources of possible bias in data collection and surveys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misleading representations of data in graphs and media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construct column graphs using a many-to-one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and interpret data by calculating range and mode and describing the shape of distribution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compare different data displays describing range, mode and shape of distribution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mean of a dataset and use mean, median, mode and range together to describe and compare data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outliers and describe their effect on the mean, median, mode and range of a dataset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construct and interpret dot plots and stem-and-leaf plots to display and compare data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critically evaluate statistical claims and reports in the media, identifying possible bias and misleading representations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