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28 — Position &amp; Chance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plot and read coordinates, and describe and calculate the likelihood of everyday events.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and label points from coordinates in the first quadrant, and read the coordinates of given points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outcomes of a chance experiment and recognise when outcomes are equally likely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represent the probability of an outcome of a chance experiment as a fraction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and label points, and read coordinates of given points, in all 4 quadrants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how a point's coordinates change when it is translated (slid) across an axis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describe how a point's coordinates change when it is reflected (flipped) across an axis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random generators to follow given probabilities and assign probabilities using fractions, decimals and percentages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assign probabilities as fractions to outcomes of chance experiments that are not equally likely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expected and observed frequencies over small and large numbers of trials, and sample with replacement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plot points with non-whole coordinates and recognise a linear relationship across rules, tables, coordinate pairs and graphs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list the sample space and express the probability of an event as favourable ÷ total, on the 0–1 scale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theoretical (expected) probability with observed probability (relative frequency) from repeated trials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