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28 — Position &amp; Chance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plot and read coordinates, and describe and calculate the likelihood of everyday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plot and label points from coordinates in the first quadrant, and read the coordinates of given points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list the outcomes of a chance experiment and recognise when outcomes are equally likely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the probability of an outcome of a chance experiment as a fraction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plot and label points, and read coordinates of given points, in all 4 quadrants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describe how a point's coordinates change when it is translated (slid) across an axis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describe how a point's coordinates change when it is reflected (flipped) across an axis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random generators to follow given probabilities and assign probabilities using fractions, decimals and percentages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assign probabilities as fractions to outcomes of chance experiments that are not equally likely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expected and observed frequencies over small and large numbers of trials, and sample with replacement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plot points with non-whole coordinates and recognise a linear relationship across rules, tables, coordinate pairs and graphs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list the sample space and express the probability of an event as favourable ÷ total, on the 0–1 scale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theoretical (expected) probability with observed probability (relative frequency) from repeated trials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