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25 — Data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construct and interpret data displays.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collect categorical and numerical data through surveys and observation and tabulate it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side-by-side column graphs for 2 categories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integers on a timeline and draw accurate timelines using an appropriate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line graphs using the scales on the axes and describe data presented in line graphs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which types of data displays are appropriate to represent different types of data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an appropriate scale to represent data and use many-to-one scales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sources of possible bias in data collection and surveys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misleading representations of data in graphs and media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construct column graphs using a many-to-one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and interpret data by calculating range and mode and describing the shape of distribution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and compare different data displays describing range, mode and shape of distribution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mean of a dataset and use mean, median, mode and range together to describe and compare data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outliers and describe their effect on the mean, median, mode and range of a dataset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construct and interpret dot plots and stem-and-leaf plots to display and compare data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critically evaluate statistical claims and reports in the media, identifying possible bias and misleading representations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