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NSW Foundation Font" w:hAnsi="NSW Foundation Font" w:cs="NSW Foundation Font" w:eastAsia="NSW Foundation Font"/>
          <w:b/>
          <w:sz w:val="36"/>
          <w:szCs w:val="36"/>
        </w:rPr>
        <w:t xml:space="preserve">Unit 38 — Chance &amp; Data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color w:val="22272b"/>
                <w:sz w:val="26"/>
                <w:szCs w:val="26"/>
                <w:rtl w:val="0"/>
              </w:rPr>
              <w:t xml:space="preserve">We are learning to collect, organise and interpret data, and describe probability as a fraction.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b w:val="1"/>
                <w:bCs w:val="1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collect categorical and numerical data by observation or survey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record and organise collected data in a frequency table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assign probabilities to outcomes using fractions and benchmark FDP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the term frequency and distinguish frequency from probability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design a random generator to follow set probabilities or proportions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compare observed and expected results and explain differences (randomness)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discuss the fairness of simple chance games using randomness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estimate the make-up of a large collection by sampling with replacement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interpret and compare data displays using range, mode and shape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interpret media data and identify bias and misleading displays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list the sample space and find P(event) = favourable / total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find observed probability as a relative frequency and use complementary events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classify variables and choose a suitable graph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