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before="0" w:after="0" w:line="240" w:lineRule="auto"/>
        <w:jc w:val="center"/>
      </w:pPr>
      <w:r>
        <w:rPr>
          <w:rFonts w:ascii="Edu NSW ACT Foundation" w:hAnsi="Edu NSW ACT Foundation" w:cs="Edu NSW ACT Foundation" w:eastAsia="Edu NSW ACT Foundation"/>
          <w:b/>
          <w:sz w:val="36"/>
          <w:szCs w:val="36"/>
        </w:rPr>
        <w:t xml:space="preserve">Unit 23 — Length &amp; Time</w:t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measure and calculate length and perimeter, and to read and interpret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choose units and devices to measure length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calculate the perimeter of squares, rectangles and triangles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record and interpret lengths in decimal notation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read and convert 12- and 24-hour time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convert between metres and kilometres and compare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side lengths needed and calculate perimeter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perimeter and area of rectangles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calculate elapsed time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read timetables and solve duration problems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area of triangles and composite shapes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speed = distance ÷ time to solve problems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distance-time graphs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