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25 — Data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construct and interpret data displays.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collect categorical and numerical data through surveys and observation and tabulate it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side-by-side column graphs for 2 categories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integers on a timeline and draw accurate timelines using an appropriate scale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line graphs using the scales on the axes and describe data presented in line graphs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which types of data displays are appropriate to represent different types of data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an appropriate scale to represent data and use many-to-one scales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sources of possible bias in data collection and surveys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misleading representations of data in graphs and media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construct column graphs using a many-to-one scale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describe and interpret data by calculating range and mode and describing the shape of distribution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and compare different data displays describing range, mode and shape of distribution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the mean of a dataset and use mean, median, mode and range together to describe and compare data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outliers and describe their effect on the mean, median, mode and range of a dataset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construct and interpret dot plots and stem-and-leaf plots to display and compare data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critically evaluate statistical claims and reports in the media, identifying possible bias and misleading representations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