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Edu NSW ACT Foundation" w:hAnsi="Edu NSW ACT Foundation" w:cs="Edu NSW ACT Foundation" w:eastAsia="Edu NSW ACT Foundation"/>
          <w:b/>
          <w:sz w:val="36"/>
          <w:szCs w:val="36"/>
        </w:rPr>
        <w:t xml:space="preserve">Unit 32 — 2D Shapes &amp; Area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identify properties of 2D shapes, transform them, and calculate area.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the lines of symmetry and order of rotational symmetry of quadrilaterals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identify polygons as regular (all sides and angles equal) or irregular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the terms translate, reflect and rotate, and recognise transformations preserve size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determine all the factors of a given whole number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dissect a shape and rearrange the pieces (using slides, flips, turns) to make another shape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the area of a composite L-shape in more than one way (split into rectangles, or surround and subtract)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rearrange a parallelogram into a rectangle to find its area (base × perpendicular height)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a triangle's area to a parallelogram with the same base and height (it is half)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establish that a triangle is half a parallelogram and record a method for the area of any triangle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the formula A = lb for a rectangle and develop and apply A = bh for a parallelogram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develop and apply the formula for the area of a triangle: A = ½bh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calculate the area of composite figures by dissecting into rectangles, parallelograms and triangles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