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Edu NSW ACT Foundation" w:hAnsi="Edu NSW ACT Foundation" w:cs="Edu NSW ACT Foundation" w:eastAsia="Edu NSW ACT Foundation"/>
          <w:b/>
          <w:sz w:val="36"/>
          <w:szCs w:val="36"/>
        </w:rPr>
        <w:t xml:space="preserve">Unit 34 — Mass, Length, Perimeter &amp; Decimals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measure and convert units of mass and length, calculate perimeter, and connect fractions, decimals and percentages.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recognise % means per cent and swap between benchmark fractions, decimals and percentages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convert between grams and kilograms, and between kilograms and tonnes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read and record mass and length in decimal notation to 3 decimal places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generate the whole quantity from a non-unit fractional part (e.g. ¾ = 18 → whole = 24)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problems involving different units of mass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convert between metres and kilometres and compare lengths in the same unit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investigate and compare perimeters of rectangles with the same area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determine the number of different rectangles with whole-number sides for a given area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length and perimeter problems, including problems with different units of length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word problems involving the addition and subtraction of decimals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formulas to find the area of triangles and parallelograms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the area of composite shapes and convert between area units (cm², m²)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the perimeter of composite shapes and the circumference of circles (C = πd)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