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Edu NSW ACT Foundation" w:hAnsi="Edu NSW ACT Foundation" w:cs="Edu NSW ACT Foundation" w:eastAsia="Edu NSW ACT Foundation"/>
          <w:b/>
          <w:sz w:val="36"/>
          <w:szCs w:val="36"/>
        </w:rPr>
        <w:t xml:space="preserve">Unit 38 — Chance &amp; Data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collect, organise and interpret data, and describe probability as a fraction.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collect categorical and numerical data by observation or survey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record and organise collected data in a frequency table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assign probabilities to outcomes using fractions and benchmark FDP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term frequency and distinguish frequency from probability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design a random generator to follow set probabilities or proportions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observed and expected results and explain differences (randomness)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discuss the fairness of simple chance games using randomness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estimate the make-up of a large collection by sampling with replacement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and compare data displays using range, mode and shape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media data and identify bias and misleading displays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list the sample space and find P(event) = favourable / total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observed probability as a relative frequency and use complementary events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classify variables and choose a suitable graph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