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/>
    <w:tbl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>
              <w:rPr>
                <w:rFonts w:ascii="Edu NSW ACT Foundation" w:hAnsi="Edu NSW ACT Foundation" w:cs="Edu NSW ACT Foundation" w:eastAsia="Edu NSW ACT Foundation"/>
                <w:b/>
                <w:sz w:val="36"/>
                <w:szCs w:val="36"/>
              </w:rPr>
              <w:t xml:space="preserve">Unit 28 — Position &amp; Chance</w:t>
            </w:r>
          </w:p>
        </w:tc>
      </w:tr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plot and read coordinates, and describe and calculate the likelihood of everyday events.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plot and label points from coordinates in the first quadrant, and read the coordinates of given points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list the outcomes of a chance experiment and recognise when outcomes are equally likely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represent the probability of an outcome of a chance experiment as a fraction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plot and label points, and read coordinates of given points, in all 4 quadrants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describe how a point's coordinates change when it is translated (slid) across an axis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describe how a point's coordinates change when it is reflected (flipped) across an axis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create random generators to follow given probabilities and assign probabilities using fractions, decimals and percentages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assign probabilities as fractions to outcomes of chance experiments that are not equally likely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compare expected and observed frequencies over small and large numbers of trials, and sample with replacement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plot points with non-whole coordinates and recognise a linear relationship across rules, tables, coordinate pairs and graphs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list the sample space and express the probability of an event as favourable ÷ total, on the 0–1 scale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compare theoretical (expected) probability with observed probability (relative frequency) from repeated trials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