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color w:val="1F3864"/>
          <w:sz w:val="34"/>
        </w:rPr>
        <w:t>Weekly New Issue Market Update</w:t>
      </w:r>
    </w:p>
    <w:p>
      <w:pPr>
        <w:spacing w:after="120" w:before="0"/>
      </w:pPr>
      <w:r>
        <w:rPr>
          <w:b w:val="0"/>
          <w:color w:val="52514E"/>
          <w:sz w:val="17"/>
        </w:rPr>
        <w:t>Week ending 22 Sep 2026  |  SEC-registered corporate bond issuance  |  Prepared by Nick Dugdale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b/>
                <w:color w:val="1F3864"/>
                <w:sz w:val="30"/>
              </w:rPr>
              <w:t>$7.1bn</w:t>
            </w:r>
          </w:p>
        </w:tc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b/>
                <w:color w:val="1F3864"/>
                <w:sz w:val="30"/>
              </w:rPr>
              <w:t>7 / 11</w:t>
            </w:r>
          </w:p>
        </w:tc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b/>
                <w:color w:val="1F3864"/>
                <w:sz w:val="30"/>
              </w:rPr>
              <w:t>98%</w:t>
            </w:r>
          </w:p>
        </w:tc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b/>
                <w:color w:val="1F3864"/>
                <w:sz w:val="30"/>
              </w:rPr>
              <w:t>+90bp</w:t>
            </w:r>
          </w:p>
        </w:tc>
      </w:tr>
      <w:tr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color w:val="52514E"/>
                <w:sz w:val="15"/>
              </w:rPr>
              <w:t>Volume this week (avg $25.2bn)</w:t>
            </w:r>
          </w:p>
        </w:tc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color w:val="52514E"/>
                <w:sz w:val="15"/>
              </w:rPr>
              <w:t>Deals / bonds priced</w:t>
            </w:r>
          </w:p>
        </w:tc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color w:val="52514E"/>
                <w:sz w:val="15"/>
              </w:rPr>
              <w:t>Investment grade share</w:t>
            </w:r>
          </w:p>
        </w:tc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color w:val="52514E"/>
                <w:sz w:val="15"/>
              </w:rPr>
              <w:t>Median senior IG 10y spread, 3 bond(s) (prior +106bp)</w:t>
            </w:r>
          </w:p>
        </w:tc>
      </w:tr>
    </w:tbl>
    <w:p>
      <w:pPr>
        <w:spacing w:after="40" w:before="100"/>
      </w:pPr>
      <w:r>
        <w:rPr>
          <w:b/>
          <w:color w:val="1F3864"/>
          <w:sz w:val="17"/>
        </w:rPr>
        <w:t>SUMMARY</w:t>
      </w:r>
    </w:p>
    <w:p>
      <w:pPr>
        <w:spacing w:after="40" w:before="0"/>
      </w:pPr>
      <w:r>
        <w:rPr>
          <w:b w:val="0"/>
          <w:sz w:val="18"/>
        </w:rPr>
        <w:t>$7.1bn IG-heavy week (98% share) across 7 deals and 11 bonds. Financials dominated at $4.5bn. Senior IG spreads tightened on 5y and 10y; 1-3y and 30y+ had too few comparables.</w:t>
      </w:r>
    </w:p>
    <w:p>
      <w:pPr>
        <w:spacing w:after="40" w:before="100"/>
      </w:pPr>
      <w:r>
        <w:rPr>
          <w:b/>
          <w:color w:val="1F3864"/>
          <w:sz w:val="17"/>
        </w:rPr>
        <w:t>NOTABLE DEALS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94"/>
        <w:gridCol w:w="737"/>
        <w:gridCol w:w="624"/>
        <w:gridCol w:w="1247"/>
        <w:gridCol w:w="737"/>
        <w:gridCol w:w="1644"/>
        <w:gridCol w:w="1474"/>
      </w:tblGrid>
      <w:tr>
        <w:tc>
          <w:tcPr>
            <w:tcW w:type="dxa" w:w="2608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Issuer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Priced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Rating</w:t>
            </w:r>
          </w:p>
        </w:tc>
        <w:tc>
          <w:tcPr>
            <w:tcW w:type="dxa" w:w="62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Ccy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Size ($m eq.)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Bonds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Tenors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Spread (bps)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5"/>
              </w:rPr>
              <w:t>The Toronto-Dominion Bank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21 Sep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sz w:val="15"/>
              </w:rPr>
              <w:t>USD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3,750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5"/>
              </w:rPr>
              <w:t>2y, 5y, 10y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+45 to +85</w:t>
            </w:r>
          </w:p>
        </w:tc>
      </w:tr>
      <w:tr>
        <w:tc>
          <w:tcPr>
            <w:tcW w:type="dxa" w:w="2608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DICK'S Sporting Goods</w:t>
            </w:r>
          </w:p>
        </w:tc>
        <w:tc>
          <w:tcPr>
            <w:tcW w:type="dxa" w:w="79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22 Sep</w:t>
            </w:r>
          </w:p>
        </w:tc>
        <w:tc>
          <w:tcPr>
            <w:tcW w:type="dxa" w:w="73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BBB</w:t>
            </w:r>
          </w:p>
        </w:tc>
        <w:tc>
          <w:tcPr>
            <w:tcW w:type="dxa" w:w="62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USD</w:t>
            </w:r>
          </w:p>
        </w:tc>
        <w:tc>
          <w:tcPr>
            <w:tcW w:type="dxa" w:w="124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1,000</w:t>
            </w:r>
          </w:p>
        </w:tc>
        <w:tc>
          <w:tcPr>
            <w:tcW w:type="dxa" w:w="73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64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10y, 30y</w:t>
            </w:r>
          </w:p>
        </w:tc>
        <w:tc>
          <w:tcPr>
            <w:tcW w:type="dxa" w:w="147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+125 to +160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5"/>
              </w:rPr>
              <w:t>CenterPoint Energy Houston Electric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21 Sep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sz w:val="15"/>
              </w:rPr>
              <w:t>USD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700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5"/>
              </w:rPr>
              <w:t>5y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+58</w:t>
            </w:r>
          </w:p>
        </w:tc>
      </w:tr>
      <w:tr>
        <w:tc>
          <w:tcPr>
            <w:tcW w:type="dxa" w:w="2608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Brookfield Finance</w:t>
            </w:r>
          </w:p>
        </w:tc>
        <w:tc>
          <w:tcPr>
            <w:tcW w:type="dxa" w:w="79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21 Sep</w:t>
            </w:r>
          </w:p>
        </w:tc>
        <w:tc>
          <w:tcPr>
            <w:tcW w:type="dxa" w:w="73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A-</w:t>
            </w:r>
          </w:p>
        </w:tc>
        <w:tc>
          <w:tcPr>
            <w:tcW w:type="dxa" w:w="62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USD</w:t>
            </w:r>
          </w:p>
        </w:tc>
        <w:tc>
          <w:tcPr>
            <w:tcW w:type="dxa" w:w="124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600</w:t>
            </w:r>
          </w:p>
        </w:tc>
        <w:tc>
          <w:tcPr>
            <w:tcW w:type="dxa" w:w="73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64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5y</w:t>
            </w:r>
          </w:p>
        </w:tc>
        <w:tc>
          <w:tcPr>
            <w:tcW w:type="dxa" w:w="147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+82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5"/>
              </w:rPr>
              <w:t>Brown-Forman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17 Sep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A-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sz w:val="15"/>
              </w:rPr>
              <w:t>USD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500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5"/>
              </w:rPr>
              <w:t>5y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+60</w:t>
            </w:r>
          </w:p>
        </w:tc>
      </w:tr>
      <w:tr>
        <w:tc>
          <w:tcPr>
            <w:tcW w:type="dxa" w:w="2608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Agree Limited Partnership</w:t>
            </w:r>
          </w:p>
        </w:tc>
        <w:tc>
          <w:tcPr>
            <w:tcW w:type="dxa" w:w="79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17 Sep</w:t>
            </w:r>
          </w:p>
        </w:tc>
        <w:tc>
          <w:tcPr>
            <w:tcW w:type="dxa" w:w="73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BBB+</w:t>
            </w:r>
          </w:p>
        </w:tc>
        <w:tc>
          <w:tcPr>
            <w:tcW w:type="dxa" w:w="62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USD</w:t>
            </w:r>
          </w:p>
        </w:tc>
        <w:tc>
          <w:tcPr>
            <w:tcW w:type="dxa" w:w="124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400</w:t>
            </w:r>
          </w:p>
        </w:tc>
        <w:tc>
          <w:tcPr>
            <w:tcW w:type="dxa" w:w="73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64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10y</w:t>
            </w:r>
          </w:p>
        </w:tc>
        <w:tc>
          <w:tcPr>
            <w:tcW w:type="dxa" w:w="147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+90</w:t>
            </w:r>
          </w:p>
        </w:tc>
      </w:tr>
    </w:tbl>
    <w:p>
      <w:pPr>
        <w:spacing w:after="0" w:before="0"/>
      </w:pPr>
      <w:r>
        <w:rPr>
          <w:b w:val="0"/>
          <w:color w:val="52514E"/>
          <w:sz w:val="13"/>
        </w:rPr>
        <w:t>* includes subordinated or hybrid bonds. Spreads over each bond's benchmark (UST for USD, Bunds/mid-swaps for EUR, gilts for GBP).</w:t>
      </w:r>
    </w:p>
    <w:p>
      <w:pPr>
        <w:spacing w:after="40" w:before="100"/>
      </w:pPr>
      <w:r>
        <w:rPr>
          <w:b/>
          <w:color w:val="1F3864"/>
          <w:sz w:val="17"/>
        </w:rPr>
        <w:t>PRICING CONTEXT: 25 AUG 2026 TO 22 SEP 2026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24000" cy="18166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spread_by_teno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18166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24000" cy="186670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spread_by_rat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18667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100"/>
      </w:pPr>
      <w:r>
        <w:rPr>
          <w:b/>
          <w:color w:val="1F3864"/>
          <w:sz w:val="17"/>
        </w:rPr>
        <w:t>KEY THEMES</w:t>
      </w:r>
    </w:p>
    <w:p>
      <w:pPr>
        <w:pStyle w:val="ListBullet"/>
        <w:spacing w:after="20"/>
      </w:pPr>
      <w:r>
        <w:rPr>
          <w:sz w:val="18"/>
        </w:rPr>
        <w:t>5y and 10y senior IG tighter vs. prior period: 5y median 62bp (from 83bp), 10y median 90bp (from 106bp).</w:t>
      </w:r>
    </w:p>
    <w:p>
      <w:pPr>
        <w:pStyle w:val="ListBullet"/>
        <w:spacing w:after="20"/>
      </w:pPr>
      <w:r>
        <w:rPr>
          <w:sz w:val="18"/>
        </w:rPr>
        <w:t>Financials drove volume at $4.5bn; TD Bank $3.75bn deal across 2y, 5y, 10y at +45 to +85.</w:t>
      </w:r>
    </w:p>
    <w:p>
      <w:pPr>
        <w:pStyle w:val="ListBullet"/>
        <w:spacing w:after="20"/>
      </w:pPr>
      <w:r>
        <w:rPr>
          <w:sz w:val="18"/>
        </w:rPr>
        <w:t>Notable single-tenor deals: Brown-Forman 5y +60bp, CenterPoint 5y +58bp, DICK'S 30y +160bp.</w:t>
      </w:r>
    </w:p>
    <w:p>
      <w:pPr>
        <w:spacing w:after="0" w:before="120"/>
      </w:pPr>
      <w:r>
        <w:rPr>
          <w:color w:val="52514E"/>
          <w:sz w:val="13"/>
        </w:rPr>
        <w:t>Source: SEC EDGAR pricing term sheets (form FWP), 25 Aug 2026 to 22 Sep 2026. Terms extracted from filings with Claude (claude-haiku-4-5-20251001); all figures computed in Python from the extracted data. Commentary drafted by Claude from those figures and checked number-by-number against them. Extraction QC: 98.1% of 771 extracted values traced to source filings; 100.0% correct on a manual spot check of 122 values. LIMITATIONS: covers SEC-registered deals only, so excludes 144A/Reg S issuance (most US high yield and many European deals); volumes are a sample, not the market. Non-USD sizes converted at Federal Reserve H.10 rates for 2026-09-18. Composite rating = middle of Moody's/S&amp;P/Fitch; sector is a model classification. Tenor measured to par call where earlier. Automated draft for discussion; not investment advice.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