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3864"/>
          <w:sz w:val="34"/>
        </w:rPr>
        <w:t>Monthly New Issue Market Update</w:t>
      </w:r>
    </w:p>
    <w:p>
      <w:pPr>
        <w:spacing w:after="120" w:before="0"/>
      </w:pPr>
      <w:r>
        <w:rPr>
          <w:b w:val="0"/>
          <w:color w:val="52514E"/>
          <w:sz w:val="17"/>
        </w:rPr>
        <w:t>September 2026  |  SEC-registered corporate bond issuance  |  Prepared by Nick Dugdale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$86.2bn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55 / 105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87%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b/>
                <w:color w:val="1F3864"/>
                <w:sz w:val="30"/>
              </w:rPr>
              <w:t>+102bp</w:t>
            </w:r>
          </w:p>
        </w:tc>
      </w:tr>
      <w:tr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Volume this month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Deals / bonds priced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Investment grade share</w:t>
            </w:r>
          </w:p>
        </w:tc>
        <w:tc>
          <w:tcPr>
            <w:tcW w:type="dxa" w:w="2523"/>
            <w:shd w:val="clear" w:color="auto" w:fill="EEF2F8"/>
          </w:tcPr>
          <w:p>
            <w:pPr>
              <w:spacing w:after="20"/>
              <w:jc w:val="center"/>
            </w:pPr>
            <w:r>
              <w:rPr>
                <w:color w:val="52514E"/>
                <w:sz w:val="15"/>
              </w:rPr>
              <w:t>Median senior IG 10y spread, 16 bond(s)</w:t>
            </w:r>
          </w:p>
        </w:tc>
      </w:tr>
    </w:tbl>
    <w:p>
      <w:pPr>
        <w:spacing w:after="40" w:before="100"/>
      </w:pPr>
      <w:r>
        <w:rPr>
          <w:b/>
          <w:color w:val="1F3864"/>
          <w:sz w:val="17"/>
        </w:rPr>
        <w:t>SUMMARY</w:t>
      </w:r>
    </w:p>
    <w:p>
      <w:pPr>
        <w:spacing w:after="40" w:before="0"/>
      </w:pPr>
      <w:r>
        <w:rPr>
          <w:b w:val="0"/>
          <w:sz w:val="18"/>
        </w:rPr>
        <w:t>September 2026 saw $86.2bn across 55 deals (105 bonds). IG represented 87% of volume. Financials dominated at $31.3bn; Technology, Industrials and Consumer followed. Senior IG spreads showed minimal comparables to prior period; 10y printed at 102bp median.</w:t>
      </w:r>
    </w:p>
    <w:p>
      <w:pPr>
        <w:spacing w:after="40" w:before="100"/>
      </w:pPr>
      <w:r>
        <w:rPr>
          <w:b/>
          <w:color w:val="1F3864"/>
          <w:sz w:val="17"/>
        </w:rPr>
        <w:t>NOTABLE DEALS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94"/>
        <w:gridCol w:w="737"/>
        <w:gridCol w:w="624"/>
        <w:gridCol w:w="1247"/>
        <w:gridCol w:w="737"/>
        <w:gridCol w:w="1644"/>
        <w:gridCol w:w="1474"/>
      </w:tblGrid>
      <w:tr>
        <w:tc>
          <w:tcPr>
            <w:tcW w:type="dxa" w:w="260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Issuer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Priced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Rating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Ccy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Size ($m eq.)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Bonds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Tenors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Spread (bps)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Aon North America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14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BBB+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13,500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3y, 5y, 7y, 10y, 12y, 20y, 30y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+63 to +115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GlaxoSmithKline Capital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08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6,500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3y, 5y, 7y, 10y, 30y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+40 to +80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Amazon.com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09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AA-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GBP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5,683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3y, 6y, 12y, 19y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+53 to +93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Uber Technologies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09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BBB+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EUR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5,159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3y, 6y, 8y, 12y, 20y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+69 to +147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5"/>
              </w:rPr>
              <w:t>Dell International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09 Sep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BBB+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5"/>
              </w:rPr>
              <w:t>5,000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5"/>
              </w:rPr>
              <w:t>3y, 5y, 7y, 11y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+60 to +110</w:t>
            </w:r>
          </w:p>
        </w:tc>
      </w:tr>
      <w:tr>
        <w:tc>
          <w:tcPr>
            <w:tcW w:type="dxa" w:w="2608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The Toronto-Dominion Bank</w:t>
            </w:r>
          </w:p>
        </w:tc>
        <w:tc>
          <w:tcPr>
            <w:tcW w:type="dxa" w:w="79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21 Sep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62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USD</w:t>
            </w:r>
          </w:p>
        </w:tc>
        <w:tc>
          <w:tcPr>
            <w:tcW w:type="dxa" w:w="124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3,750</w:t>
            </w:r>
          </w:p>
        </w:tc>
        <w:tc>
          <w:tcPr>
            <w:tcW w:type="dxa" w:w="737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64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2y, 5y, 10y</w:t>
            </w:r>
          </w:p>
        </w:tc>
        <w:tc>
          <w:tcPr>
            <w:tcW w:type="dxa" w:w="1474"/>
            <w:shd w:val="clear" w:color="auto" w:fill="F6F6F4"/>
          </w:tcPr>
          <w:p>
            <w:pPr>
              <w:spacing w:after="0"/>
            </w:pPr>
            <w:r>
              <w:rPr>
                <w:sz w:val="15"/>
              </w:rPr>
              <w:t>+45 to +85</w:t>
            </w:r>
          </w:p>
        </w:tc>
      </w:tr>
    </w:tbl>
    <w:p>
      <w:pPr>
        <w:spacing w:after="0" w:before="0"/>
      </w:pPr>
      <w:r>
        <w:rPr>
          <w:b w:val="0"/>
          <w:color w:val="52514E"/>
          <w:sz w:val="13"/>
        </w:rPr>
        <w:t>* includes subordinated or hybrid bonds. Spreads over each bond's benchmark (UST for USD, Bunds/mid-swaps for EUR, gilts for GBP).</w:t>
      </w:r>
    </w:p>
    <w:p>
      <w:pPr>
        <w:spacing w:after="40" w:before="100"/>
      </w:pPr>
      <w:r>
        <w:rPr>
          <w:b/>
          <w:color w:val="1F3864"/>
          <w:sz w:val="17"/>
        </w:rPr>
        <w:t>PRICING CONTEXT: 20 AUG 2026 TO 30 SEP 2026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24000" cy="1816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spread_by_ten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16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24000" cy="18602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spread_by_rat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860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00"/>
      </w:pPr>
      <w:r>
        <w:rPr>
          <w:b/>
          <w:color w:val="1F3864"/>
          <w:sz w:val="17"/>
        </w:rPr>
        <w:t>KEY THEMES</w:t>
      </w:r>
    </w:p>
    <w:p>
      <w:pPr>
        <w:pStyle w:val="ListBullet"/>
        <w:spacing w:after="20"/>
      </w:pPr>
      <w:r>
        <w:rPr>
          <w:sz w:val="18"/>
        </w:rPr>
        <w:t>Financials drove flow with $31.3bn; 10 hybrid/sub deals embedded in month's total. Tech sustained secondary role at $15.2bn despite marquee issuers (Uber EUR, Dell, Amazon GBP). Senior IG curve: 1-3y 55bp, 5y 78bp, 10y 102bp, 30y+ 115bp median; spread profile widens by tenor.</w:t>
      </w:r>
    </w:p>
    <w:p>
      <w:pPr>
        <w:spacing w:after="0" w:before="120"/>
      </w:pPr>
      <w:r>
        <w:rPr>
          <w:color w:val="52514E"/>
          <w:sz w:val="13"/>
        </w:rPr>
        <w:t>Source: SEC EDGAR pricing term sheets (form FWP), 20 Aug 2026 to 30 Sep 2026. Terms extracted from filings with Claude (claude-haiku-4-5-20251001); all figures computed in Python from the extracted data. Commentary drafted by Claude from those figures and checked number-by-number against them. Extraction QC: 97.8% of 863 extracted values traced to source filings; 100.0% correct on a manual spot check of 122 values. LIMITATIONS: covers SEC-registered deals only, so excludes 144A/Reg S issuance (most US high yield and many European deals); volumes are a sample, not the market. Non-USD sizes converted at Federal Reserve H.10 rates for 2026-09-18. Composite rating = middle of Moody's/S&amp;P/Fitch; sector is a model classification. Tenor measured to par call where earlier. Automated draft for discussion; not investment advice.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